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253C50" w14:textId="03FBFCB3" w:rsidR="005C64A3" w:rsidRDefault="009D67FA" w:rsidP="005C64A3">
      <w:pPr>
        <w:pStyle w:val="Red-Title"/>
        <w:rPr>
          <w:sz w:val="28"/>
          <w:szCs w:val="28"/>
        </w:rPr>
      </w:pPr>
      <w:r>
        <w:rPr>
          <w:sz w:val="52"/>
          <w:szCs w:val="52"/>
        </w:rPr>
        <w:t xml:space="preserve">OPP Brief: </w:t>
      </w:r>
      <w:r w:rsidR="00467715">
        <w:rPr>
          <w:sz w:val="52"/>
          <w:szCs w:val="52"/>
        </w:rPr>
        <w:t>P</w:t>
      </w:r>
      <w:r w:rsidR="00DE35AE">
        <w:rPr>
          <w:sz w:val="52"/>
          <w:szCs w:val="52"/>
        </w:rPr>
        <w:t>ATRIOT</w:t>
      </w:r>
      <w:r w:rsidR="00467715">
        <w:rPr>
          <w:sz w:val="52"/>
          <w:szCs w:val="52"/>
        </w:rPr>
        <w:t xml:space="preserve"> Act</w:t>
      </w:r>
      <w:r w:rsidR="005C64A3">
        <w:rPr>
          <w:sz w:val="52"/>
          <w:szCs w:val="52"/>
        </w:rPr>
        <w:br/>
      </w:r>
      <w:r w:rsidR="005C64A3" w:rsidRPr="005F53C5">
        <w:rPr>
          <w:sz w:val="28"/>
          <w:szCs w:val="28"/>
        </w:rPr>
        <w:t xml:space="preserve">by </w:t>
      </w:r>
      <w:r w:rsidR="00A44372">
        <w:rPr>
          <w:sz w:val="28"/>
          <w:szCs w:val="28"/>
        </w:rPr>
        <w:t>Mark Csoros</w:t>
      </w:r>
    </w:p>
    <w:p w14:paraId="6B87C2E5" w14:textId="77777777" w:rsidR="005C64A3" w:rsidRPr="00601667" w:rsidRDefault="005C64A3" w:rsidP="005C64A3">
      <w:pPr>
        <w:jc w:val="center"/>
      </w:pPr>
      <w:r>
        <w:rPr>
          <w:noProof/>
        </w:rPr>
        <w:drawing>
          <wp:inline distT="0" distB="0" distL="0" distR="0" wp14:anchorId="78218324" wp14:editId="0FC9A087">
            <wp:extent cx="4011028" cy="2898411"/>
            <wp:effectExtent l="152400" t="114300" r="142240" b="1689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bwMode="auto">
                    <a:xfrm>
                      <a:off x="0" y="0"/>
                      <a:ext cx="4021048" cy="2905652"/>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p>
    <w:p w14:paraId="7DE68708" w14:textId="5CB6242C" w:rsidR="00CC0BD2" w:rsidRDefault="00467715" w:rsidP="00467715">
      <w:pPr>
        <w:ind w:firstLine="720"/>
      </w:pPr>
      <w:r>
        <w:t xml:space="preserve">This year, some debaters are running applications centered around the NSA’s surveillance programs. </w:t>
      </w:r>
      <w:r w:rsidR="00461793">
        <w:t>This is usually run as an affirmative application, though t</w:t>
      </w:r>
      <w:r>
        <w:t xml:space="preserve">here is room </w:t>
      </w:r>
      <w:r w:rsidR="00DE35AE">
        <w:t>for the</w:t>
      </w:r>
      <w:r>
        <w:t xml:space="preserve"> application on both sides of the resolution</w:t>
      </w:r>
      <w:r w:rsidR="00C5327F">
        <w:t xml:space="preserve"> (negative can certainly argue that it’s an unjust invasion of privacy</w:t>
      </w:r>
      <w:r w:rsidR="00A66C2E">
        <w:t>)</w:t>
      </w:r>
      <w:r w:rsidR="00DE35AE">
        <w:t>. However, the current state of the Patriot Act</w:t>
      </w:r>
      <w:r w:rsidR="007A3D03">
        <w:t xml:space="preserve"> and </w:t>
      </w:r>
      <w:r w:rsidR="00DE35AE">
        <w:t>the NSA’s bulk collection of metadata</w:t>
      </w:r>
      <w:r w:rsidR="007A3935">
        <w:t xml:space="preserve"> </w:t>
      </w:r>
      <w:r w:rsidR="00DE35AE">
        <w:t>is more complex than most affirmatives insinuate. Before we get i</w:t>
      </w:r>
      <w:bookmarkStart w:id="0" w:name="_GoBack"/>
      <w:bookmarkEnd w:id="0"/>
      <w:r w:rsidR="00DE35AE">
        <w:t xml:space="preserve">nto the application and responses, it’s important that we take a quick look at the current state of mass surveillance. </w:t>
      </w:r>
    </w:p>
    <w:p w14:paraId="25D36500" w14:textId="4B138D41" w:rsidR="00DE35AE" w:rsidRDefault="00DE35AE" w:rsidP="00467715">
      <w:pPr>
        <w:ind w:firstLine="720"/>
        <w:rPr>
          <w:color w:val="000000"/>
        </w:rPr>
      </w:pPr>
      <w:r>
        <w:t xml:space="preserve">The Patriot </w:t>
      </w:r>
      <w:r w:rsidRPr="00DE35AE">
        <w:t>Act (</w:t>
      </w:r>
      <w:r>
        <w:t>its full title is the “</w:t>
      </w:r>
      <w:r w:rsidRPr="00DE35AE">
        <w:rPr>
          <w:color w:val="000000"/>
        </w:rPr>
        <w:t>Uniting and Strengthening America by Providing Appropriate Tools Required to Intercept and Obstruct Terrorism</w:t>
      </w:r>
      <w:r>
        <w:rPr>
          <w:color w:val="000000"/>
        </w:rPr>
        <w:t xml:space="preserve"> Act”, </w:t>
      </w:r>
      <w:r w:rsidR="00D7593C">
        <w:rPr>
          <w:color w:val="000000"/>
        </w:rPr>
        <w:t>giving it</w:t>
      </w:r>
      <w:r>
        <w:rPr>
          <w:color w:val="000000"/>
        </w:rPr>
        <w:t xml:space="preserve"> the acronym USA PATRIOT), was passed following 9/11 with overwhelming bipartisan support</w:t>
      </w:r>
      <w:r>
        <w:rPr>
          <w:rStyle w:val="FootnoteReference"/>
        </w:rPr>
        <w:footnoteReference w:id="1"/>
      </w:r>
      <w:r>
        <w:rPr>
          <w:color w:val="000000"/>
        </w:rPr>
        <w:t xml:space="preserve">. It made a lot of sense, because it allowed </w:t>
      </w:r>
      <w:r w:rsidR="003F08B6">
        <w:rPr>
          <w:color w:val="000000"/>
        </w:rPr>
        <w:t>us</w:t>
      </w:r>
      <w:r>
        <w:rPr>
          <w:color w:val="000000"/>
        </w:rPr>
        <w:t xml:space="preserve"> to fight terrorism the same way th</w:t>
      </w:r>
      <w:r w:rsidR="003F08B6">
        <w:rPr>
          <w:color w:val="000000"/>
        </w:rPr>
        <w:t>at we</w:t>
      </w:r>
      <w:r>
        <w:rPr>
          <w:color w:val="000000"/>
        </w:rPr>
        <w:t xml:space="preserve"> were already fighting organized crime. </w:t>
      </w:r>
      <w:r w:rsidR="003F08B6">
        <w:rPr>
          <w:color w:val="000000"/>
        </w:rPr>
        <w:t>However, there was one major difference.</w:t>
      </w:r>
    </w:p>
    <w:p w14:paraId="7912E27F" w14:textId="0B37FAFA" w:rsidR="003F08B6" w:rsidRDefault="003F08B6" w:rsidP="00467715">
      <w:pPr>
        <w:ind w:firstLine="720"/>
        <w:rPr>
          <w:color w:val="000000"/>
        </w:rPr>
      </w:pPr>
      <w:r>
        <w:rPr>
          <w:color w:val="000000"/>
        </w:rPr>
        <w:t>Back in 1978, Congress passed the Foreign Intelligence Surveillance Act (FISA), which was designed to help the government collect intelligence on foreign actors who posed a threat to national security</w:t>
      </w:r>
      <w:r>
        <w:rPr>
          <w:rStyle w:val="FootnoteReference"/>
        </w:rPr>
        <w:footnoteReference w:id="2"/>
      </w:r>
      <w:r>
        <w:rPr>
          <w:color w:val="000000"/>
        </w:rPr>
        <w:t xml:space="preserve">. FISA created something called the Foreign Intelligence Surveillance Court (properly </w:t>
      </w:r>
      <w:r>
        <w:rPr>
          <w:color w:val="000000"/>
        </w:rPr>
        <w:lastRenderedPageBreak/>
        <w:t xml:space="preserve">abbreviated </w:t>
      </w:r>
      <w:r w:rsidR="008C6198">
        <w:rPr>
          <w:color w:val="000000"/>
        </w:rPr>
        <w:t>FISC but</w:t>
      </w:r>
      <w:r>
        <w:rPr>
          <w:color w:val="000000"/>
        </w:rPr>
        <w:t xml:space="preserve"> is usually called the FISA Court). The Department of Homeland Security explains FISA and the FISA Court thusly:</w:t>
      </w:r>
    </w:p>
    <w:p w14:paraId="449516EE" w14:textId="77777777" w:rsidR="003F08B6" w:rsidRPr="003F08B6" w:rsidRDefault="003F08B6" w:rsidP="003F08B6">
      <w:pPr>
        <w:jc w:val="center"/>
        <w:rPr>
          <w:i/>
        </w:rPr>
      </w:pPr>
      <w:r w:rsidRPr="003F08B6">
        <w:rPr>
          <w:i/>
        </w:rPr>
        <w:t>Subchapter I of FISA established procedures for the conduct of foreign intelligence surveillance and created the Foreign Intelligence Surveillance Court (FISC). The Department of Justice must apply to the FISC to obtain a warrant authorizing electronic surveillance of foreign agents. For targets that are U.S. persons (U.S. citizens, permanent resident aliens, and U.S. corporations), FISA requires heightened requirements in some instances.</w:t>
      </w:r>
    </w:p>
    <w:p w14:paraId="269D914A" w14:textId="685DC13D" w:rsidR="003F08B6" w:rsidRPr="003F08B6" w:rsidRDefault="003F08B6" w:rsidP="003F08B6">
      <w:pPr>
        <w:jc w:val="center"/>
        <w:rPr>
          <w:i/>
        </w:rPr>
      </w:pPr>
      <w:r w:rsidRPr="003F08B6">
        <w:rPr>
          <w:i/>
        </w:rPr>
        <w:t>Unlike domestic criminal surveillance warrants issued under Title III of the Omnibus Crime Control and Safe Streets Act of 1968 (the "</w:t>
      </w:r>
      <w:hyperlink r:id="rId9" w:anchor="contentTop" w:tooltip="This link opens a page from another Web site." w:history="1">
        <w:r w:rsidRPr="003F08B6">
          <w:rPr>
            <w:rStyle w:val="Hyperlink"/>
            <w:i/>
            <w:color w:val="12559C"/>
          </w:rPr>
          <w:t>Wiretap Act</w:t>
        </w:r>
      </w:hyperlink>
      <w:r w:rsidRPr="003F08B6">
        <w:rPr>
          <w:i/>
        </w:rPr>
        <w:t>") , agents need to demonstrate probable cause to believe that the "target of the surveillance is a foreign power or agent of a foreign power," that "a significant purpose" of the surveillance is to obtain "foreign intelligence information," and that appropriate "minimization procedures" are in place. </w:t>
      </w:r>
      <w:hyperlink r:id="rId10" w:tgtFrame="_blank" w:tooltip="This link opens a page from another Web site in a new window." w:history="1">
        <w:r w:rsidRPr="003F08B6">
          <w:rPr>
            <w:rStyle w:val="Hyperlink"/>
            <w:i/>
            <w:color w:val="12559C"/>
          </w:rPr>
          <w:t>50 U.S.C. § 1804</w:t>
        </w:r>
      </w:hyperlink>
      <w:r w:rsidRPr="003F08B6">
        <w:rPr>
          <w:i/>
        </w:rPr>
        <w:t>.</w:t>
      </w:r>
    </w:p>
    <w:p w14:paraId="05DB7BC8" w14:textId="31F6E937" w:rsidR="003F08B6" w:rsidRPr="003F08B6" w:rsidRDefault="003F08B6" w:rsidP="003F08B6">
      <w:pPr>
        <w:jc w:val="center"/>
        <w:rPr>
          <w:i/>
        </w:rPr>
      </w:pPr>
      <w:r w:rsidRPr="003F08B6">
        <w:rPr>
          <w:i/>
        </w:rPr>
        <w:t>Agents do not need to demonstrate that commission of a crime is imminent.</w:t>
      </w:r>
    </w:p>
    <w:p w14:paraId="50286E76" w14:textId="77777777" w:rsidR="003F08B6" w:rsidRPr="003F08B6" w:rsidRDefault="003F08B6" w:rsidP="003F08B6">
      <w:pPr>
        <w:jc w:val="center"/>
        <w:rPr>
          <w:i/>
        </w:rPr>
      </w:pPr>
      <w:r w:rsidRPr="003F08B6">
        <w:rPr>
          <w:i/>
        </w:rPr>
        <w:t>For purposes of FISA, agents of foreign powers include agents of foreign political organizations and groups engaged in international terrorism, as well as agents of foreign nations. </w:t>
      </w:r>
      <w:hyperlink r:id="rId11" w:tgtFrame="_blank" w:tooltip="This link opens a page from another Web site in a new window." w:history="1">
        <w:r w:rsidRPr="003F08B6">
          <w:rPr>
            <w:rStyle w:val="Hyperlink"/>
            <w:i/>
            <w:color w:val="12559C"/>
          </w:rPr>
          <w:t>50 U.S.C. § 1801</w:t>
        </w:r>
      </w:hyperlink>
    </w:p>
    <w:p w14:paraId="73F62277" w14:textId="0B79C60C" w:rsidR="003F08B6" w:rsidRPr="00E14E49" w:rsidRDefault="003F08B6" w:rsidP="00E14E49">
      <w:pPr>
        <w:jc w:val="center"/>
        <w:rPr>
          <w:i/>
        </w:rPr>
      </w:pPr>
      <w:r w:rsidRPr="003F08B6">
        <w:rPr>
          <w:i/>
          <w:iCs/>
        </w:rPr>
        <w:t>Record Destruction</w:t>
      </w:r>
      <w:r w:rsidRPr="003F08B6">
        <w:rPr>
          <w:i/>
        </w:rPr>
        <w:t>: Where the government has accidentally intercepted communications that "under circumstances in which a person has a reasonable expectation of privacy and a warrant would be required for law enforcement purposes, and if both the sender and all intended recipients are located within the United States," the government is required to destroy those records, "unless the Attorney General determines that the contents indicate a threat of death or serious bodily harm to any person." </w:t>
      </w:r>
      <w:hyperlink r:id="rId12" w:tgtFrame="_blank" w:tooltip="This link opens a page from another Web site in a new window." w:history="1">
        <w:r w:rsidRPr="003F08B6">
          <w:rPr>
            <w:rStyle w:val="Hyperlink"/>
            <w:i/>
            <w:color w:val="12559C"/>
          </w:rPr>
          <w:t>50 U.S.C. § 1806</w:t>
        </w:r>
      </w:hyperlink>
      <w:r w:rsidRPr="003F08B6">
        <w:rPr>
          <w:i/>
        </w:rPr>
        <w:t>.</w:t>
      </w:r>
      <w:r w:rsidR="00B367BD">
        <w:rPr>
          <w:rStyle w:val="FootnoteReference"/>
          <w:i/>
        </w:rPr>
        <w:footnoteReference w:id="3"/>
      </w:r>
    </w:p>
    <w:p w14:paraId="3AB3BBF2" w14:textId="3EEDB4F7" w:rsidR="003F08B6" w:rsidRDefault="00B367BD" w:rsidP="00B367BD">
      <w:pPr>
        <w:ind w:firstLine="720"/>
      </w:pPr>
      <w:r>
        <w:t xml:space="preserve">This is important because Section 215 of the Patriot Act gave the FISA Court the responsibility to approve or deny warrants for wiretaps, </w:t>
      </w:r>
      <w:r w:rsidR="00D47ABD">
        <w:t xml:space="preserve">taking </w:t>
      </w:r>
      <w:r>
        <w:t>business records, and collecti</w:t>
      </w:r>
      <w:r w:rsidR="00B44B04">
        <w:t xml:space="preserve">ng </w:t>
      </w:r>
      <w:r>
        <w:t>telephone</w:t>
      </w:r>
      <w:r w:rsidR="00D47ABD">
        <w:t xml:space="preserve"> and internet</w:t>
      </w:r>
      <w:r>
        <w:t xml:space="preserve"> metadata (metadata means data about data</w:t>
      </w:r>
      <w:r w:rsidR="00E14E49">
        <w:t xml:space="preserve"> </w:t>
      </w:r>
      <w:r>
        <w:t>-</w:t>
      </w:r>
      <w:r w:rsidR="00E14E49">
        <w:t xml:space="preserve"> </w:t>
      </w:r>
      <w:r>
        <w:t>who you called, when you called them</w:t>
      </w:r>
      <w:r w:rsidR="00E14E49">
        <w:t>, but not the actual conversation)</w:t>
      </w:r>
      <w:r w:rsidR="00E14E49">
        <w:rPr>
          <w:rStyle w:val="FootnoteReference"/>
        </w:rPr>
        <w:footnoteReference w:id="4"/>
      </w:r>
      <w:r w:rsidR="00E14E49">
        <w:t xml:space="preserve">. The FISA Court is what’s called an </w:t>
      </w:r>
      <w:r w:rsidR="00E14E49">
        <w:rPr>
          <w:i/>
        </w:rPr>
        <w:t xml:space="preserve">ex </w:t>
      </w:r>
      <w:proofErr w:type="spellStart"/>
      <w:r w:rsidR="00E14E49">
        <w:rPr>
          <w:i/>
        </w:rPr>
        <w:t>parte</w:t>
      </w:r>
      <w:proofErr w:type="spellEnd"/>
      <w:r w:rsidR="00E14E49">
        <w:rPr>
          <w:i/>
        </w:rPr>
        <w:t xml:space="preserve"> </w:t>
      </w:r>
      <w:r w:rsidR="00E14E49">
        <w:t xml:space="preserve">court, which means that the government is the only party present, and location of the tightly sealed courtroom is a secret. No one knows which judges sit on the FISA court, because their names are </w:t>
      </w:r>
      <w:r w:rsidR="00B44B04">
        <w:t>protected</w:t>
      </w:r>
      <w:r w:rsidR="00E14E49">
        <w:t>, and they are appointed, without a confirmation process, by the Chief Justice of the Supreme Court.</w:t>
      </w:r>
      <w:r w:rsidR="00E14E49">
        <w:rPr>
          <w:rStyle w:val="FootnoteReference"/>
        </w:rPr>
        <w:footnoteReference w:id="5"/>
      </w:r>
      <w:r w:rsidR="00E14E49">
        <w:t xml:space="preserve"> </w:t>
      </w:r>
      <w:r w:rsidR="006F0751">
        <w:t xml:space="preserve">The FISA Court also isn’t that picky about which warrants they approve. </w:t>
      </w:r>
      <w:r w:rsidR="00D65BA3">
        <w:t>For example, a</w:t>
      </w:r>
      <w:r w:rsidR="006F0751">
        <w:t xml:space="preserve"> 2016 report to Congress by the DOJ found that in 2015, the FISA Court approved 1,456 requests to obtain electronic evidence, out of the 1,467 requests </w:t>
      </w:r>
      <w:r w:rsidR="006F0751">
        <w:lastRenderedPageBreak/>
        <w:t>the government made</w:t>
      </w:r>
      <w:r w:rsidR="00001F1C">
        <w:rPr>
          <w:rStyle w:val="FootnoteReference"/>
        </w:rPr>
        <w:footnoteReference w:id="6"/>
      </w:r>
      <w:r w:rsidR="006F0751">
        <w:t xml:space="preserve">. That one request that wasn’t approved was withdrawn by the government, meaning that the FISA court denied exactly zero warrants. </w:t>
      </w:r>
      <w:r w:rsidR="00001F1C">
        <w:t xml:space="preserve">The FISA Court did, however, modify 5 requests to obtain physical business records, out of the 142 requests the government made that year, but the Court’s 2015 denial percentage was still a whopping zero percent. </w:t>
      </w:r>
    </w:p>
    <w:p w14:paraId="7B23F8C7" w14:textId="1EAE2693" w:rsidR="00001F1C" w:rsidRPr="00E14E49" w:rsidRDefault="00001F1C" w:rsidP="00B367BD">
      <w:pPr>
        <w:ind w:firstLine="720"/>
      </w:pPr>
      <w:r>
        <w:t>The FISA Court’s secrecy, along with their extreme willingness to approve surveillance, raised some concerns. When Edward Snowden revealed the extent of the NSA’s collection practices (through the PRISM program and other mass collection programs), privacy advocates were understandably worried. In 2015, Congress passed the USA Freedom Act, which assuaged some privacy concerns by limiting the scope of bulk surveillance. The Washington Post reported:</w:t>
      </w:r>
    </w:p>
    <w:p w14:paraId="5262F628" w14:textId="7F5DFC3A" w:rsidR="0017070D" w:rsidRPr="00D47ABD" w:rsidRDefault="0017070D" w:rsidP="00D47ABD">
      <w:pPr>
        <w:pStyle w:val="listbullet"/>
        <w:spacing w:before="225" w:beforeAutospacing="0" w:after="0" w:afterAutospacing="0" w:line="336" w:lineRule="atLeast"/>
        <w:jc w:val="center"/>
        <w:rPr>
          <w:i/>
          <w:color w:val="0D0D0D" w:themeColor="text1" w:themeTint="F2"/>
          <w:szCs w:val="34"/>
        </w:rPr>
      </w:pPr>
      <w:r w:rsidRPr="00D47ABD">
        <w:rPr>
          <w:i/>
          <w:color w:val="0D0D0D" w:themeColor="text1" w:themeTint="F2"/>
          <w:szCs w:val="34"/>
        </w:rPr>
        <w:t xml:space="preserve">“The bill </w:t>
      </w:r>
      <w:r w:rsidRPr="00D47ABD">
        <w:rPr>
          <w:rStyle w:val="pghighlight"/>
          <w:i/>
          <w:color w:val="0D0D0D" w:themeColor="text1" w:themeTint="F2"/>
          <w:szCs w:val="34"/>
        </w:rPr>
        <w:t>bans the bulk collection of data</w:t>
      </w:r>
      <w:r w:rsidRPr="00D47ABD">
        <w:rPr>
          <w:i/>
          <w:color w:val="0D0D0D" w:themeColor="text1" w:themeTint="F2"/>
          <w:szCs w:val="34"/>
        </w:rPr>
        <w:t xml:space="preserve"> of Americans’ telephone records and Internet metadata. It </w:t>
      </w:r>
      <w:r w:rsidRPr="00D47ABD">
        <w:rPr>
          <w:rStyle w:val="pghighlight"/>
          <w:i/>
          <w:color w:val="0D0D0D" w:themeColor="text1" w:themeTint="F2"/>
          <w:szCs w:val="34"/>
        </w:rPr>
        <w:t>limits the government’s data collection</w:t>
      </w:r>
      <w:r w:rsidRPr="00D47ABD">
        <w:rPr>
          <w:i/>
          <w:color w:val="0D0D0D" w:themeColor="text1" w:themeTint="F2"/>
          <w:szCs w:val="34"/>
        </w:rPr>
        <w:t xml:space="preserve"> to the “greatest extent reasonably practical”—which means the government can’t collect all data pertaining to a particular service provider or broad geographic region, such as a city or area code.”</w:t>
      </w:r>
    </w:p>
    <w:p w14:paraId="787462C6" w14:textId="0A40372C" w:rsidR="0017070D" w:rsidRPr="00D47ABD" w:rsidRDefault="00F25D20" w:rsidP="00D47ABD">
      <w:pPr>
        <w:pStyle w:val="listbullet"/>
        <w:spacing w:before="225" w:beforeAutospacing="0" w:after="0" w:afterAutospacing="0" w:line="336" w:lineRule="atLeast"/>
        <w:jc w:val="center"/>
        <w:rPr>
          <w:i/>
          <w:color w:val="0D0D0D" w:themeColor="text1" w:themeTint="F2"/>
        </w:rPr>
      </w:pPr>
      <w:r w:rsidRPr="00D47ABD">
        <w:rPr>
          <w:i/>
          <w:color w:val="000000"/>
          <w:shd w:val="clear" w:color="auto" w:fill="FFFFFF"/>
        </w:rPr>
        <w:t>“</w:t>
      </w:r>
      <w:r w:rsidR="0017070D" w:rsidRPr="00D47ABD">
        <w:rPr>
          <w:i/>
          <w:color w:val="000000"/>
          <w:shd w:val="clear" w:color="auto" w:fill="FFFFFF"/>
        </w:rPr>
        <w:t xml:space="preserve">Instead of bulk data collection, the bill authorizes the government to collect from phone companies </w:t>
      </w:r>
      <w:r w:rsidR="0017070D" w:rsidRPr="00D47ABD">
        <w:rPr>
          <w:rStyle w:val="pghighlight"/>
          <w:rFonts w:eastAsiaTheme="majorEastAsia"/>
          <w:i/>
          <w:color w:val="000000"/>
        </w:rPr>
        <w:t>up to “two hops”</w:t>
      </w:r>
      <w:r w:rsidR="0017070D" w:rsidRPr="00D47ABD">
        <w:rPr>
          <w:i/>
          <w:color w:val="000000"/>
          <w:shd w:val="clear" w:color="auto" w:fill="FFFFFF"/>
        </w:rPr>
        <w:t xml:space="preserve"> of call records related to a suspect, if the government can prove it has “reasonable” suspicion that the suspect is linked to a terrorist organization.</w:t>
      </w:r>
      <w:r w:rsidRPr="00D47ABD">
        <w:rPr>
          <w:i/>
          <w:color w:val="000000"/>
          <w:shd w:val="clear" w:color="auto" w:fill="FFFFFF"/>
        </w:rPr>
        <w:t>”</w:t>
      </w:r>
    </w:p>
    <w:p w14:paraId="69B07C4F" w14:textId="53A23FF8" w:rsidR="0017070D" w:rsidRPr="00D47ABD" w:rsidRDefault="00F25D20" w:rsidP="00D47ABD">
      <w:pPr>
        <w:pStyle w:val="listbullet"/>
        <w:spacing w:before="225" w:beforeAutospacing="0" w:after="0" w:afterAutospacing="0" w:line="336" w:lineRule="atLeast"/>
        <w:jc w:val="center"/>
        <w:rPr>
          <w:i/>
          <w:color w:val="0D0D0D" w:themeColor="text1" w:themeTint="F2"/>
        </w:rPr>
      </w:pPr>
      <w:r w:rsidRPr="00D47ABD">
        <w:rPr>
          <w:i/>
          <w:color w:val="000000"/>
          <w:shd w:val="clear" w:color="auto" w:fill="FFFFFF"/>
        </w:rPr>
        <w:t>“I</w:t>
      </w:r>
      <w:r w:rsidR="0017070D" w:rsidRPr="00D47ABD">
        <w:rPr>
          <w:i/>
          <w:color w:val="000000"/>
          <w:shd w:val="clear" w:color="auto" w:fill="FFFFFF"/>
        </w:rPr>
        <w:t xml:space="preserve">t </w:t>
      </w:r>
      <w:r w:rsidR="0017070D" w:rsidRPr="00D47ABD">
        <w:rPr>
          <w:rStyle w:val="pghighlight"/>
          <w:rFonts w:eastAsiaTheme="majorEastAsia"/>
          <w:i/>
          <w:color w:val="000000"/>
        </w:rPr>
        <w:t>extends the expiration of three Patriot Act provisions</w:t>
      </w:r>
      <w:r w:rsidR="0017070D" w:rsidRPr="00D47ABD">
        <w:rPr>
          <w:i/>
          <w:color w:val="000000"/>
          <w:shd w:val="clear" w:color="auto" w:fill="FFFFFF"/>
        </w:rPr>
        <w:t>—Section 215, roving wiretaps and the lone wolf surveillance authority—to December 2019.</w:t>
      </w:r>
      <w:r w:rsidRPr="00D47ABD">
        <w:rPr>
          <w:i/>
          <w:color w:val="000000"/>
          <w:shd w:val="clear" w:color="auto" w:fill="FFFFFF"/>
        </w:rPr>
        <w:t>”</w:t>
      </w:r>
      <w:r w:rsidR="00D47ABD">
        <w:rPr>
          <w:rStyle w:val="FootnoteReference"/>
          <w:i/>
          <w:shd w:val="clear" w:color="auto" w:fill="FFFFFF"/>
        </w:rPr>
        <w:footnoteReference w:id="7"/>
      </w:r>
    </w:p>
    <w:p w14:paraId="39135FC3" w14:textId="3FAFA336" w:rsidR="0017070D" w:rsidRDefault="0017070D" w:rsidP="00467715">
      <w:pPr>
        <w:ind w:firstLine="720"/>
        <w:rPr>
          <w:color w:val="0D0D0D" w:themeColor="text1" w:themeTint="F2"/>
          <w:sz w:val="20"/>
        </w:rPr>
      </w:pPr>
    </w:p>
    <w:p w14:paraId="1E7FF2EC" w14:textId="3E68EF8B" w:rsidR="007C5038" w:rsidRDefault="007A3935" w:rsidP="00341E30">
      <w:pPr>
        <w:ind w:firstLine="720"/>
        <w:rPr>
          <w:color w:val="0D0D0D" w:themeColor="text1" w:themeTint="F2"/>
        </w:rPr>
      </w:pPr>
      <w:r w:rsidRPr="007A3935">
        <w:rPr>
          <w:color w:val="0D0D0D" w:themeColor="text1" w:themeTint="F2"/>
        </w:rPr>
        <w:t xml:space="preserve">So, in a mere 9 months we </w:t>
      </w:r>
      <w:r>
        <w:rPr>
          <w:color w:val="0D0D0D" w:themeColor="text1" w:themeTint="F2"/>
        </w:rPr>
        <w:t>may no longer have an NSA capable of collecting bulk data. This may seem frightening, especially since there is some evidence that terror attacks have been foiled because of bulk collection.</w:t>
      </w:r>
      <w:r>
        <w:rPr>
          <w:rStyle w:val="FootnoteReference"/>
          <w14:textFill>
            <w14:solidFill>
              <w14:srgbClr w14:val="000000">
                <w14:lumMod w14:val="95000"/>
                <w14:lumOff w14:val="5000"/>
              </w14:srgbClr>
            </w14:solidFill>
          </w14:textFill>
        </w:rPr>
        <w:footnoteReference w:id="8"/>
      </w:r>
      <w:r>
        <w:rPr>
          <w:color w:val="0D0D0D" w:themeColor="text1" w:themeTint="F2"/>
        </w:rPr>
        <w:t xml:space="preserve"> However, recent evidence </w:t>
      </w:r>
      <w:r w:rsidR="00341E30">
        <w:rPr>
          <w:color w:val="0D0D0D" w:themeColor="text1" w:themeTint="F2"/>
        </w:rPr>
        <w:t>has suggested that the NSA has quietly ended its bulk collection of phone data, the Trump administration hasn’t used the program for the past six months</w:t>
      </w:r>
      <w:r w:rsidR="00C60B3E">
        <w:rPr>
          <w:color w:val="0D0D0D" w:themeColor="text1" w:themeTint="F2"/>
        </w:rPr>
        <w:t>, and may choose not to pursue renewal in December.</w:t>
      </w:r>
      <w:r w:rsidR="00341E30">
        <w:rPr>
          <w:rStyle w:val="FootnoteReference"/>
          <w14:textFill>
            <w14:solidFill>
              <w14:srgbClr w14:val="000000">
                <w14:lumMod w14:val="95000"/>
                <w14:lumOff w14:val="5000"/>
              </w14:srgbClr>
            </w14:solidFill>
          </w14:textFill>
        </w:rPr>
        <w:footnoteReference w:id="9"/>
      </w:r>
      <w:r w:rsidR="00341E30">
        <w:rPr>
          <w:color w:val="0D0D0D" w:themeColor="text1" w:themeTint="F2"/>
        </w:rPr>
        <w:t xml:space="preserve"> </w:t>
      </w:r>
      <w:r w:rsidR="00C5327F">
        <w:rPr>
          <w:color w:val="0D0D0D" w:themeColor="text1" w:themeTint="F2"/>
        </w:rPr>
        <w:t xml:space="preserve">In addition, the NSA recently deleted (or claimed to delete) millions of call and text records, dating back to 2015, that they had collected due to a coding error. Even the NSA can be sensitive to privacy, at least when public outcry requires it to be. </w:t>
      </w:r>
    </w:p>
    <w:p w14:paraId="2514ACBA" w14:textId="463C1B24" w:rsidR="00341E30" w:rsidRDefault="00341E30" w:rsidP="00341E30">
      <w:pPr>
        <w:ind w:firstLine="720"/>
        <w:rPr>
          <w:color w:val="0D0D0D" w:themeColor="text1" w:themeTint="F2"/>
        </w:rPr>
      </w:pPr>
      <w:r>
        <w:rPr>
          <w:color w:val="0D0D0D" w:themeColor="text1" w:themeTint="F2"/>
        </w:rPr>
        <w:t>I know that was a lot of background, but it’s barely scratched the surface of the tangled web</w:t>
      </w:r>
      <w:r w:rsidR="00C5327F">
        <w:rPr>
          <w:color w:val="0D0D0D" w:themeColor="text1" w:themeTint="F2"/>
        </w:rPr>
        <w:t xml:space="preserve"> that is</w:t>
      </w:r>
      <w:r>
        <w:rPr>
          <w:color w:val="0D0D0D" w:themeColor="text1" w:themeTint="F2"/>
        </w:rPr>
        <w:t xml:space="preserve"> </w:t>
      </w:r>
      <w:r w:rsidR="00C5327F">
        <w:rPr>
          <w:color w:val="0D0D0D" w:themeColor="text1" w:themeTint="F2"/>
        </w:rPr>
        <w:t>America’s</w:t>
      </w:r>
      <w:r>
        <w:rPr>
          <w:color w:val="0D0D0D" w:themeColor="text1" w:themeTint="F2"/>
        </w:rPr>
        <w:t xml:space="preserve"> mass surveillance</w:t>
      </w:r>
      <w:r w:rsidR="00C5327F">
        <w:rPr>
          <w:color w:val="0D0D0D" w:themeColor="text1" w:themeTint="F2"/>
        </w:rPr>
        <w:t xml:space="preserve"> system</w:t>
      </w:r>
      <w:r>
        <w:rPr>
          <w:color w:val="0D0D0D" w:themeColor="text1" w:themeTint="F2"/>
        </w:rPr>
        <w:t xml:space="preserve">. There’s a lot more to know, and I hope you decide to delve </w:t>
      </w:r>
      <w:r>
        <w:rPr>
          <w:color w:val="0D0D0D" w:themeColor="text1" w:themeTint="F2"/>
        </w:rPr>
        <w:lastRenderedPageBreak/>
        <w:t xml:space="preserve">deeper into this issue, because it’s important for you as a debater and as a citizen. </w:t>
      </w:r>
      <w:r w:rsidR="00C5327F">
        <w:rPr>
          <w:color w:val="0D0D0D" w:themeColor="text1" w:themeTint="F2"/>
        </w:rPr>
        <w:t xml:space="preserve">But, before this brief gets too long, let’s look at some responses. </w:t>
      </w:r>
    </w:p>
    <w:p w14:paraId="0AE9FC50" w14:textId="27C8DFD5" w:rsidR="00C5327F" w:rsidRDefault="00C5327F" w:rsidP="00341E30">
      <w:pPr>
        <w:ind w:firstLine="720"/>
        <w:rPr>
          <w:color w:val="0D0D0D" w:themeColor="text1" w:themeTint="F2"/>
        </w:rPr>
      </w:pPr>
      <w:r>
        <w:rPr>
          <w:color w:val="0D0D0D" w:themeColor="text1" w:themeTint="F2"/>
        </w:rPr>
        <w:t xml:space="preserve">The best response on negative is that bulk surveillance isn’t an invasion of privacy at all, and so doesn’t represent an instance of conflict in the resolution. Remember privacy is made up of two things: subjective expectation (do I think that I have a right to my privacy in this situation), and objective societal views (where does society say that I have a reasonable expectation of privacy). Since the law and the courts say that it’s acceptable to conduct bulk data collection through FISA Court warrants, it doesn’t violate privacy for the NSA to do so. </w:t>
      </w:r>
    </w:p>
    <w:p w14:paraId="085DEB18" w14:textId="5D6616F6" w:rsidR="003275EC" w:rsidRDefault="003275EC" w:rsidP="00341E30">
      <w:pPr>
        <w:ind w:firstLine="720"/>
        <w:rPr>
          <w:color w:val="0D0D0D" w:themeColor="text1" w:themeTint="F2"/>
        </w:rPr>
      </w:pPr>
      <w:r>
        <w:rPr>
          <w:color w:val="0D0D0D" w:themeColor="text1" w:themeTint="F2"/>
        </w:rPr>
        <w:t xml:space="preserve">A good way of supporting this argument is to bring up the </w:t>
      </w:r>
      <w:r w:rsidR="008C6198">
        <w:rPr>
          <w:color w:val="0D0D0D" w:themeColor="text1" w:themeTint="F2"/>
        </w:rPr>
        <w:t>Third-Party</w:t>
      </w:r>
      <w:r>
        <w:rPr>
          <w:color w:val="0D0D0D" w:themeColor="text1" w:themeTint="F2"/>
        </w:rPr>
        <w:t xml:space="preserve"> Doctrine. In a nutshell, this doctrine says that if you’ve willingly shared information with someone outside the direct line of communication (like your phone service provider), it’s no longer </w:t>
      </w:r>
      <w:r w:rsidR="008C6198">
        <w:rPr>
          <w:color w:val="0D0D0D" w:themeColor="text1" w:themeTint="F2"/>
        </w:rPr>
        <w:t>secrets</w:t>
      </w:r>
      <w:r>
        <w:rPr>
          <w:color w:val="0D0D0D" w:themeColor="text1" w:themeTint="F2"/>
        </w:rPr>
        <w:t>, and the government can make use of that information. This doctrine has its roots in two Supreme Court Cases, Smith v. Maryland, and its predecessor, U.S. v. Miller. This article in The Atlantic</w:t>
      </w:r>
      <w:r>
        <w:rPr>
          <w:rStyle w:val="FootnoteReference"/>
          <w14:textFill>
            <w14:solidFill>
              <w14:srgbClr w14:val="000000">
                <w14:lumMod w14:val="95000"/>
                <w14:lumOff w14:val="5000"/>
              </w14:srgbClr>
            </w14:solidFill>
          </w14:textFill>
        </w:rPr>
        <w:footnoteReference w:id="10"/>
      </w:r>
      <w:r>
        <w:rPr>
          <w:color w:val="0D0D0D" w:themeColor="text1" w:themeTint="F2"/>
        </w:rPr>
        <w:t xml:space="preserve"> gives a good and succinct summary of the doctrine, and I highly recommend it. Though there are legitimate arguments about the </w:t>
      </w:r>
      <w:r w:rsidR="008C6198">
        <w:rPr>
          <w:color w:val="0D0D0D" w:themeColor="text1" w:themeTint="F2"/>
        </w:rPr>
        <w:t>Third-Party</w:t>
      </w:r>
      <w:r>
        <w:rPr>
          <w:color w:val="0D0D0D" w:themeColor="text1" w:themeTint="F2"/>
        </w:rPr>
        <w:t xml:space="preserve"> Doctrine, it relies on a simple logic: if you share information, it’s not really secret. If you come up with a brand-new, super-secret, absolutely smashing argument, you can’t expect it to stay secret after you run it in a round. At that point, your argument is out in the public domain, and any expectation of privacy you have regarding that argument is probably unreasonable. </w:t>
      </w:r>
    </w:p>
    <w:p w14:paraId="3E98E1F7" w14:textId="4EC08536" w:rsidR="00D7593C" w:rsidRPr="00341E30" w:rsidRDefault="003275EC" w:rsidP="00D7593C">
      <w:pPr>
        <w:ind w:firstLine="720"/>
        <w:rPr>
          <w:color w:val="0D0D0D" w:themeColor="text1" w:themeTint="F2"/>
        </w:rPr>
      </w:pPr>
      <w:r>
        <w:rPr>
          <w:color w:val="0D0D0D" w:themeColor="text1" w:themeTint="F2"/>
        </w:rPr>
        <w:t>Another counter on negative is to turn the application</w:t>
      </w:r>
      <w:r w:rsidR="00D7593C">
        <w:rPr>
          <w:color w:val="0D0D0D" w:themeColor="text1" w:themeTint="F2"/>
        </w:rPr>
        <w:t xml:space="preserve"> back on the affirmative debater. Since the Patriot Act is established law, and doesn’t violate anyone’s reasonable expectation of privacy, what does it do? It reflects our commitment to protecting privacy as we search for truth. The NSA must get a warrant, albeit from a secret court that doesn’t refuse many requests. They delete information they obtained illegally. And they collect information that’s already been shared with a third party. If they can do all this truth seeking and foil terrorist plots without invading our privacy, why shouldn’t the judge vote negative? </w:t>
      </w:r>
    </w:p>
    <w:sectPr w:rsidR="00D7593C" w:rsidRPr="00341E30" w:rsidSect="0078401F">
      <w:headerReference w:type="default" r:id="rId13"/>
      <w:footerReference w:type="default" r:id="rId14"/>
      <w:endnotePr>
        <w:numFmt w:val="decimal"/>
      </w:endnotePr>
      <w:type w:val="oddPage"/>
      <w:pgSz w:w="12240" w:h="15840"/>
      <w:pgMar w:top="1152" w:right="1152" w:bottom="1440" w:left="1152"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41852D" w14:textId="77777777" w:rsidR="009C663E" w:rsidRDefault="009C663E" w:rsidP="00DB7B76">
      <w:pPr>
        <w:spacing w:after="0" w:line="240" w:lineRule="auto"/>
      </w:pPr>
      <w:r>
        <w:separator/>
      </w:r>
    </w:p>
  </w:endnote>
  <w:endnote w:type="continuationSeparator" w:id="0">
    <w:p w14:paraId="78F71600" w14:textId="77777777" w:rsidR="009C663E" w:rsidRDefault="009C663E"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826F7" w14:textId="77777777" w:rsidR="008E5E3E" w:rsidRPr="00F710D5" w:rsidRDefault="008E5E3E" w:rsidP="008E5E3E">
    <w:pPr>
      <w:pStyle w:val="Footer"/>
      <w:tabs>
        <w:tab w:val="center" w:pos="4230"/>
      </w:tabs>
      <w:spacing w:before="200" w:after="200" w:line="240" w:lineRule="auto"/>
      <w:ind w:left="-720" w:right="-720"/>
      <w:jc w:val="center"/>
      <w:rPr>
        <w:i/>
        <w:sz w:val="18"/>
        <w:szCs w:val="18"/>
      </w:rPr>
    </w:pPr>
    <w:r w:rsidRPr="00F710D5">
      <w:rPr>
        <w:i/>
        <w:sz w:val="18"/>
        <w:szCs w:val="18"/>
      </w:rPr>
      <w:t xml:space="preserve">Copyright © Monument Publishing. This release was published as part of Season 19 (2018-2019) school year for speech and debate material. </w:t>
    </w:r>
  </w:p>
  <w:p w14:paraId="34B17E65" w14:textId="7D8C6F23" w:rsidR="00366C2D" w:rsidRPr="008E5E3E" w:rsidRDefault="008E5E3E" w:rsidP="008E5E3E">
    <w:pPr>
      <w:pStyle w:val="Footer"/>
      <w:tabs>
        <w:tab w:val="center" w:pos="4230"/>
      </w:tabs>
      <w:spacing w:after="0" w:line="240" w:lineRule="auto"/>
      <w:ind w:left="-720" w:right="-720"/>
      <w:jc w:val="center"/>
      <w:rPr>
        <w:b/>
        <w:i/>
      </w:rPr>
    </w:pPr>
    <w:r w:rsidRPr="001A642C">
      <w:rPr>
        <w:b/>
        <w:i/>
      </w:rPr>
      <w:t xml:space="preserve">Page </w:t>
    </w:r>
    <w:r w:rsidRPr="001A642C">
      <w:rPr>
        <w:b/>
        <w:i/>
      </w:rPr>
      <w:fldChar w:fldCharType="begin"/>
    </w:r>
    <w:r w:rsidRPr="001A642C">
      <w:rPr>
        <w:b/>
        <w:i/>
      </w:rPr>
      <w:instrText xml:space="preserve"> PAGE </w:instrText>
    </w:r>
    <w:r w:rsidRPr="001A642C">
      <w:rPr>
        <w:b/>
        <w:i/>
      </w:rPr>
      <w:fldChar w:fldCharType="separate"/>
    </w:r>
    <w:r w:rsidR="00F7231E">
      <w:rPr>
        <w:b/>
        <w:i/>
        <w:noProof/>
      </w:rPr>
      <w:t>1</w:t>
    </w:r>
    <w:r w:rsidRPr="001A642C">
      <w:rPr>
        <w:b/>
        <w:i/>
      </w:rPr>
      <w:fldChar w:fldCharType="end"/>
    </w:r>
    <w:r w:rsidRPr="001A642C">
      <w:rPr>
        <w:b/>
        <w:i/>
      </w:rPr>
      <w:t xml:space="preserve"> of </w:t>
    </w:r>
    <w:r w:rsidRPr="001A642C">
      <w:rPr>
        <w:b/>
        <w:i/>
      </w:rPr>
      <w:fldChar w:fldCharType="begin"/>
    </w:r>
    <w:r w:rsidRPr="001A642C">
      <w:rPr>
        <w:b/>
        <w:i/>
      </w:rPr>
      <w:instrText xml:space="preserve"> NUMPAGES </w:instrText>
    </w:r>
    <w:r w:rsidRPr="001A642C">
      <w:rPr>
        <w:b/>
        <w:i/>
      </w:rPr>
      <w:fldChar w:fldCharType="separate"/>
    </w:r>
    <w:r w:rsidR="00F7231E">
      <w:rPr>
        <w:b/>
        <w:i/>
        <w:noProof/>
      </w:rPr>
      <w:t>1</w:t>
    </w:r>
    <w:r w:rsidRPr="001A642C">
      <w:rPr>
        <w:b/>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B620BB" w14:textId="77777777" w:rsidR="009C663E" w:rsidRDefault="009C663E" w:rsidP="00DB7B76">
      <w:pPr>
        <w:spacing w:after="0" w:line="240" w:lineRule="auto"/>
      </w:pPr>
      <w:r>
        <w:separator/>
      </w:r>
    </w:p>
  </w:footnote>
  <w:footnote w:type="continuationSeparator" w:id="0">
    <w:p w14:paraId="678ECE2E" w14:textId="77777777" w:rsidR="009C663E" w:rsidRDefault="009C663E" w:rsidP="00DB7B76">
      <w:pPr>
        <w:spacing w:after="0" w:line="240" w:lineRule="auto"/>
      </w:pPr>
      <w:r>
        <w:continuationSeparator/>
      </w:r>
    </w:p>
  </w:footnote>
  <w:footnote w:id="1">
    <w:p w14:paraId="2A1B6591" w14:textId="3C69270C" w:rsidR="00DE35AE" w:rsidRPr="00C60B3E" w:rsidRDefault="00DE35AE" w:rsidP="00C60B3E">
      <w:pPr>
        <w:pStyle w:val="NoSpacing"/>
        <w:rPr>
          <w:sz w:val="20"/>
          <w:szCs w:val="20"/>
        </w:rPr>
      </w:pPr>
      <w:r w:rsidRPr="00C60B3E">
        <w:rPr>
          <w:rStyle w:val="FootnoteReference"/>
        </w:rPr>
        <w:footnoteRef/>
      </w:r>
      <w:r w:rsidRPr="00C60B3E">
        <w:rPr>
          <w:sz w:val="20"/>
          <w:szCs w:val="20"/>
        </w:rPr>
        <w:t xml:space="preserve"> </w:t>
      </w:r>
      <w:r w:rsidR="00C60B3E">
        <w:rPr>
          <w:sz w:val="20"/>
          <w:szCs w:val="20"/>
        </w:rPr>
        <w:t>U.S. Department of Justice “</w:t>
      </w:r>
      <w:r w:rsidR="00C60B3E" w:rsidRPr="00C60B3E">
        <w:rPr>
          <w:bCs/>
          <w:color w:val="000000"/>
          <w:sz w:val="20"/>
          <w:szCs w:val="20"/>
          <w:shd w:val="clear" w:color="auto" w:fill="FFFFFF"/>
        </w:rPr>
        <w:t>The USA PATRIOT Act: Preserving Life and Liberty</w:t>
      </w:r>
      <w:r w:rsidR="00C60B3E">
        <w:rPr>
          <w:sz w:val="20"/>
          <w:szCs w:val="20"/>
        </w:rPr>
        <w:t xml:space="preserve">” </w:t>
      </w:r>
      <w:r w:rsidRPr="00C60B3E">
        <w:rPr>
          <w:sz w:val="20"/>
          <w:szCs w:val="20"/>
        </w:rPr>
        <w:t>https://www.justice.gov/archive/ll/highlights.htm</w:t>
      </w:r>
    </w:p>
  </w:footnote>
  <w:footnote w:id="2">
    <w:p w14:paraId="417CC586" w14:textId="0F2DC6AA" w:rsidR="003F08B6" w:rsidRPr="00C60B3E" w:rsidRDefault="003F08B6" w:rsidP="00C60B3E">
      <w:pPr>
        <w:pStyle w:val="NoSpacing"/>
        <w:rPr>
          <w:sz w:val="20"/>
          <w:szCs w:val="20"/>
        </w:rPr>
      </w:pPr>
      <w:r w:rsidRPr="00C60B3E">
        <w:rPr>
          <w:rStyle w:val="FootnoteReference"/>
        </w:rPr>
        <w:footnoteRef/>
      </w:r>
      <w:r w:rsidRPr="00C60B3E">
        <w:rPr>
          <w:sz w:val="20"/>
          <w:szCs w:val="20"/>
        </w:rPr>
        <w:t xml:space="preserve"> </w:t>
      </w:r>
      <w:r w:rsidR="00C60B3E">
        <w:rPr>
          <w:sz w:val="20"/>
          <w:szCs w:val="20"/>
        </w:rPr>
        <w:t>U.S. Department of Justice “</w:t>
      </w:r>
      <w:r w:rsidR="00C60B3E" w:rsidRPr="00C60B3E">
        <w:rPr>
          <w:bCs/>
          <w:color w:val="0D0D0D" w:themeColor="text1" w:themeTint="F2"/>
          <w:sz w:val="20"/>
          <w:szCs w:val="20"/>
          <w:shd w:val="clear" w:color="auto" w:fill="F7F8F9"/>
        </w:rPr>
        <w:t>The Foreign Intelligence Surveillance Act of 1978 (</w:t>
      </w:r>
      <w:hyperlink r:id="rId1" w:tgtFrame="_blank" w:tooltip="This link opens a page from another Web site in a new window." w:history="1">
        <w:r w:rsidR="00C60B3E" w:rsidRPr="00C60B3E">
          <w:rPr>
            <w:rStyle w:val="Hyperlink"/>
            <w:bCs/>
            <w:color w:val="0D0D0D" w:themeColor="text1" w:themeTint="F2"/>
            <w:sz w:val="20"/>
            <w:szCs w:val="20"/>
          </w:rPr>
          <w:t>FISA</w:t>
        </w:r>
      </w:hyperlink>
      <w:r w:rsidR="00C60B3E" w:rsidRPr="00C60B3E">
        <w:rPr>
          <w:bCs/>
          <w:color w:val="0D0D0D" w:themeColor="text1" w:themeTint="F2"/>
          <w:sz w:val="20"/>
          <w:szCs w:val="20"/>
          <w:shd w:val="clear" w:color="auto" w:fill="F7F8F9"/>
        </w:rPr>
        <w:t>)</w:t>
      </w:r>
      <w:r w:rsidR="00C60B3E">
        <w:rPr>
          <w:sz w:val="20"/>
          <w:szCs w:val="20"/>
        </w:rPr>
        <w:t xml:space="preserve">” </w:t>
      </w:r>
      <w:r w:rsidRPr="00C60B3E">
        <w:rPr>
          <w:sz w:val="20"/>
          <w:szCs w:val="20"/>
        </w:rPr>
        <w:t>https://it.ojp.gov/privacyliberty/authorities/statutes/1286</w:t>
      </w:r>
    </w:p>
  </w:footnote>
  <w:footnote w:id="3">
    <w:p w14:paraId="4774D1D8" w14:textId="2C2E68DE" w:rsidR="00B367BD" w:rsidRPr="00C60B3E" w:rsidRDefault="00B367BD" w:rsidP="00C60B3E">
      <w:pPr>
        <w:pStyle w:val="NoSpacing"/>
        <w:rPr>
          <w:sz w:val="20"/>
        </w:rPr>
      </w:pPr>
      <w:r>
        <w:rPr>
          <w:rStyle w:val="FootnoteReference"/>
        </w:rPr>
        <w:footnoteRef/>
      </w:r>
      <w:r>
        <w:t xml:space="preserve"> </w:t>
      </w:r>
      <w:r w:rsidRPr="00C60B3E">
        <w:rPr>
          <w:sz w:val="20"/>
        </w:rPr>
        <w:t>Department of Homeland Security Office for Civil Rights and Accountability “The Foreign Intelligence Surveillance Act of 1978 (</w:t>
      </w:r>
      <w:hyperlink r:id="rId2" w:tgtFrame="_blank" w:tooltip="This link opens a page from another Web site in a new window." w:history="1">
        <w:r w:rsidRPr="00C60B3E">
          <w:rPr>
            <w:rStyle w:val="Hyperlink"/>
            <w:color w:val="auto"/>
            <w:sz w:val="20"/>
            <w:u w:val="none"/>
          </w:rPr>
          <w:t>FISA</w:t>
        </w:r>
      </w:hyperlink>
      <w:r w:rsidRPr="00C60B3E">
        <w:rPr>
          <w:sz w:val="20"/>
        </w:rPr>
        <w:t xml:space="preserve">)” </w:t>
      </w:r>
      <w:hyperlink r:id="rId3" w:history="1">
        <w:r w:rsidRPr="00C60B3E">
          <w:rPr>
            <w:rStyle w:val="Hyperlink"/>
            <w:color w:val="auto"/>
            <w:sz w:val="20"/>
            <w:u w:val="none"/>
          </w:rPr>
          <w:t>https://it.ojp.gov/privacyliberty/authorities/statutes/1286</w:t>
        </w:r>
      </w:hyperlink>
    </w:p>
  </w:footnote>
  <w:footnote w:id="4">
    <w:p w14:paraId="5B822092" w14:textId="0B0E6783" w:rsidR="00E14E49" w:rsidRPr="00C60B3E" w:rsidRDefault="00E14E49" w:rsidP="00C60B3E">
      <w:pPr>
        <w:pStyle w:val="NoSpacing"/>
        <w:rPr>
          <w:sz w:val="20"/>
        </w:rPr>
      </w:pPr>
      <w:r w:rsidRPr="00C60B3E">
        <w:rPr>
          <w:rStyle w:val="FootnoteReference"/>
          <w:color w:val="auto"/>
          <w:szCs w:val="24"/>
          <w:vertAlign w:val="baseline"/>
        </w:rPr>
        <w:footnoteRef/>
      </w:r>
      <w:r w:rsidR="00C60B3E">
        <w:rPr>
          <w:sz w:val="20"/>
        </w:rPr>
        <w:t xml:space="preserve"> Brennan Center for Justice “</w:t>
      </w:r>
      <w:r w:rsidR="00C60B3E" w:rsidRPr="00C60B3E">
        <w:rPr>
          <w:sz w:val="20"/>
        </w:rPr>
        <w:t>Are They Allowed to Do That?  A Breakdown of Selected Government Surveillance</w:t>
      </w:r>
      <w:r w:rsidR="00C60B3E">
        <w:rPr>
          <w:sz w:val="20"/>
        </w:rPr>
        <w:t>”</w:t>
      </w:r>
      <w:r w:rsidR="00C60B3E" w:rsidRPr="00C60B3E">
        <w:rPr>
          <w:sz w:val="20"/>
        </w:rPr>
        <w:t xml:space="preserve"> Programs </w:t>
      </w:r>
      <w:r w:rsidRPr="00C60B3E">
        <w:rPr>
          <w:sz w:val="20"/>
        </w:rPr>
        <w:t>https://www.brennancenter.org/sites/default/files/analysis/Government%20Surveillance%20Factsheet.pdf</w:t>
      </w:r>
    </w:p>
  </w:footnote>
  <w:footnote w:id="5">
    <w:p w14:paraId="320F8B83" w14:textId="1D48A4E0" w:rsidR="00E14E49" w:rsidRPr="00C60B3E" w:rsidRDefault="00E14E49" w:rsidP="00C60B3E">
      <w:pPr>
        <w:pStyle w:val="NoSpacing"/>
        <w:rPr>
          <w:sz w:val="20"/>
          <w:szCs w:val="20"/>
        </w:rPr>
      </w:pPr>
      <w:r>
        <w:rPr>
          <w:rStyle w:val="FootnoteReference"/>
        </w:rPr>
        <w:footnoteRef/>
      </w:r>
      <w:r>
        <w:t xml:space="preserve"> </w:t>
      </w:r>
      <w:r w:rsidR="00C60B3E">
        <w:rPr>
          <w:sz w:val="20"/>
        </w:rPr>
        <w:t>CNN</w:t>
      </w:r>
      <w:r w:rsidR="001B7397">
        <w:rPr>
          <w:sz w:val="20"/>
        </w:rPr>
        <w:t>,</w:t>
      </w:r>
      <w:r w:rsidR="00C60B3E">
        <w:rPr>
          <w:sz w:val="20"/>
        </w:rPr>
        <w:t xml:space="preserve"> March 8</w:t>
      </w:r>
      <w:r w:rsidR="00C60B3E" w:rsidRPr="00C60B3E">
        <w:rPr>
          <w:sz w:val="20"/>
          <w:vertAlign w:val="superscript"/>
        </w:rPr>
        <w:t>th</w:t>
      </w:r>
      <w:proofErr w:type="gramStart"/>
      <w:r w:rsidR="00C60B3E">
        <w:rPr>
          <w:sz w:val="20"/>
        </w:rPr>
        <w:t xml:space="preserve"> 2017</w:t>
      </w:r>
      <w:proofErr w:type="gramEnd"/>
      <w:r w:rsidR="00C60B3E">
        <w:rPr>
          <w:sz w:val="20"/>
        </w:rPr>
        <w:t xml:space="preserve"> </w:t>
      </w:r>
      <w:r w:rsidR="00C60B3E" w:rsidRPr="00C60B3E">
        <w:rPr>
          <w:sz w:val="20"/>
          <w:szCs w:val="20"/>
        </w:rPr>
        <w:t>“</w:t>
      </w:r>
      <w:r w:rsidR="00F140CF" w:rsidRPr="00C60B3E">
        <w:rPr>
          <w:color w:val="0D0D0D" w:themeColor="text1" w:themeTint="F2"/>
          <w:spacing w:val="-2"/>
          <w:sz w:val="20"/>
          <w:szCs w:val="20"/>
          <w:shd w:val="clear" w:color="auto" w:fill="FEFEFE"/>
        </w:rPr>
        <w:t>What is the FISA court, and why is it so secretive?</w:t>
      </w:r>
      <w:r w:rsidR="00C60B3E" w:rsidRPr="00C60B3E">
        <w:rPr>
          <w:color w:val="0D0D0D" w:themeColor="text1" w:themeTint="F2"/>
          <w:spacing w:val="-2"/>
          <w:sz w:val="20"/>
          <w:szCs w:val="20"/>
          <w:shd w:val="clear" w:color="auto" w:fill="FEFEFE"/>
        </w:rPr>
        <w:t>”</w:t>
      </w:r>
      <w:r w:rsidR="00C60B3E" w:rsidRPr="00C60B3E">
        <w:rPr>
          <w:rFonts w:ascii="Helvetica" w:hAnsi="Helvetica" w:cs="Helvetica"/>
          <w:color w:val="0D0D0D" w:themeColor="text1" w:themeTint="F2"/>
          <w:spacing w:val="-2"/>
          <w:sz w:val="20"/>
          <w:szCs w:val="20"/>
          <w:shd w:val="clear" w:color="auto" w:fill="FEFEFE"/>
        </w:rPr>
        <w:t xml:space="preserve"> </w:t>
      </w:r>
      <w:r w:rsidRPr="00C60B3E">
        <w:rPr>
          <w:sz w:val="20"/>
          <w:szCs w:val="20"/>
        </w:rPr>
        <w:t>https://www.cnn.com/2017/03/08/politics/fisa-court-explainer-trnd/index.html</w:t>
      </w:r>
    </w:p>
  </w:footnote>
  <w:footnote w:id="6">
    <w:p w14:paraId="3112E3E0" w14:textId="6549F136" w:rsidR="00001F1C" w:rsidRPr="00C60B3E" w:rsidRDefault="00001F1C" w:rsidP="00C60B3E">
      <w:pPr>
        <w:pStyle w:val="NoSpacing"/>
        <w:rPr>
          <w:sz w:val="20"/>
          <w:szCs w:val="20"/>
        </w:rPr>
      </w:pPr>
      <w:r w:rsidRPr="00C60B3E">
        <w:rPr>
          <w:rStyle w:val="FootnoteReference"/>
        </w:rPr>
        <w:footnoteRef/>
      </w:r>
      <w:r w:rsidRPr="00C60B3E">
        <w:rPr>
          <w:sz w:val="20"/>
          <w:szCs w:val="20"/>
        </w:rPr>
        <w:t xml:space="preserve"> </w:t>
      </w:r>
      <w:r w:rsidR="00F140CF" w:rsidRPr="00C60B3E">
        <w:rPr>
          <w:sz w:val="20"/>
          <w:szCs w:val="20"/>
        </w:rPr>
        <w:t xml:space="preserve">U.S. Department of Justice, April </w:t>
      </w:r>
      <w:proofErr w:type="gramStart"/>
      <w:r w:rsidR="00F140CF" w:rsidRPr="00C60B3E">
        <w:rPr>
          <w:sz w:val="20"/>
          <w:szCs w:val="20"/>
        </w:rPr>
        <w:t>28</w:t>
      </w:r>
      <w:proofErr w:type="gramEnd"/>
      <w:r w:rsidR="00F140CF" w:rsidRPr="00C60B3E">
        <w:rPr>
          <w:sz w:val="20"/>
          <w:szCs w:val="20"/>
        </w:rPr>
        <w:t xml:space="preserve"> 2016 </w:t>
      </w:r>
      <w:r w:rsidRPr="00C60B3E">
        <w:rPr>
          <w:i/>
          <w:sz w:val="20"/>
          <w:szCs w:val="20"/>
        </w:rPr>
        <w:t>https://www.justice.gov/nsd/nsd-foia-library/2015fisa/download</w:t>
      </w:r>
    </w:p>
  </w:footnote>
  <w:footnote w:id="7">
    <w:p w14:paraId="127CF386" w14:textId="5F24AE89" w:rsidR="00D47ABD" w:rsidRPr="00C60B3E" w:rsidRDefault="00D47ABD" w:rsidP="00C60B3E">
      <w:pPr>
        <w:pStyle w:val="NoSpacing"/>
        <w:rPr>
          <w:i/>
          <w:color w:val="0D0D0D" w:themeColor="text1" w:themeTint="F2"/>
          <w:sz w:val="20"/>
          <w:szCs w:val="20"/>
        </w:rPr>
      </w:pPr>
      <w:r w:rsidRPr="00C60B3E">
        <w:rPr>
          <w:rStyle w:val="FootnoteReference"/>
        </w:rPr>
        <w:footnoteRef/>
      </w:r>
      <w:r w:rsidRPr="00C60B3E">
        <w:rPr>
          <w:sz w:val="20"/>
          <w:szCs w:val="20"/>
        </w:rPr>
        <w:t xml:space="preserve"> </w:t>
      </w:r>
      <w:r w:rsidRPr="00C60B3E">
        <w:rPr>
          <w:color w:val="000000"/>
          <w:sz w:val="20"/>
          <w:szCs w:val="20"/>
          <w:shd w:val="clear" w:color="auto" w:fill="FFFFFF"/>
        </w:rPr>
        <w:t>The Washington Post</w:t>
      </w:r>
      <w:r w:rsidR="001B7397">
        <w:rPr>
          <w:color w:val="000000"/>
          <w:sz w:val="20"/>
          <w:szCs w:val="20"/>
          <w:shd w:val="clear" w:color="auto" w:fill="FFFFFF"/>
        </w:rPr>
        <w:t>,</w:t>
      </w:r>
      <w:r w:rsidRPr="00C60B3E">
        <w:rPr>
          <w:color w:val="000000"/>
          <w:sz w:val="20"/>
          <w:szCs w:val="20"/>
          <w:shd w:val="clear" w:color="auto" w:fill="FFFFFF"/>
        </w:rPr>
        <w:t xml:space="preserve"> </w:t>
      </w:r>
      <w:r w:rsidR="001B7397">
        <w:rPr>
          <w:color w:val="000000"/>
          <w:sz w:val="20"/>
          <w:szCs w:val="20"/>
          <w:shd w:val="clear" w:color="auto" w:fill="FFFFFF"/>
        </w:rPr>
        <w:t>June 2</w:t>
      </w:r>
      <w:r w:rsidR="001B7397" w:rsidRPr="001B7397">
        <w:rPr>
          <w:color w:val="000000"/>
          <w:sz w:val="20"/>
          <w:szCs w:val="20"/>
          <w:shd w:val="clear" w:color="auto" w:fill="FFFFFF"/>
          <w:vertAlign w:val="superscript"/>
        </w:rPr>
        <w:t>nd</w:t>
      </w:r>
      <w:r w:rsidR="001B7397">
        <w:rPr>
          <w:color w:val="000000"/>
          <w:sz w:val="20"/>
          <w:szCs w:val="20"/>
          <w:shd w:val="clear" w:color="auto" w:fill="FFFFFF"/>
        </w:rPr>
        <w:t xml:space="preserve"> 2015 </w:t>
      </w:r>
      <w:r w:rsidRPr="00C60B3E">
        <w:rPr>
          <w:color w:val="000000"/>
          <w:sz w:val="20"/>
          <w:szCs w:val="20"/>
          <w:shd w:val="clear" w:color="auto" w:fill="FFFFFF"/>
        </w:rPr>
        <w:t xml:space="preserve">“USA Freedom Act: What’s in, what’s out” </w:t>
      </w:r>
      <w:hyperlink r:id="rId4" w:history="1">
        <w:r w:rsidRPr="00C60B3E">
          <w:rPr>
            <w:rStyle w:val="Hyperlink"/>
            <w:i/>
            <w:color w:val="0D0D0D" w:themeColor="text1" w:themeTint="F2"/>
            <w:sz w:val="20"/>
            <w:szCs w:val="20"/>
            <w:u w:val="none"/>
          </w:rPr>
          <w:t>https://www.washingtonpost.com/graphics/politics/usa-freedom-act/</w:t>
        </w:r>
      </w:hyperlink>
    </w:p>
  </w:footnote>
  <w:footnote w:id="8">
    <w:p w14:paraId="02AB4017" w14:textId="1E77D6DF" w:rsidR="007A3935" w:rsidRPr="00C60B3E" w:rsidRDefault="007A3935" w:rsidP="00C60B3E">
      <w:pPr>
        <w:pStyle w:val="NoSpacing"/>
        <w:rPr>
          <w:rFonts w:ascii="Georgia" w:hAnsi="Georgia"/>
          <w:i/>
          <w:iCs/>
          <w:color w:val="121212"/>
          <w:sz w:val="20"/>
          <w:szCs w:val="20"/>
        </w:rPr>
      </w:pPr>
      <w:r w:rsidRPr="00C60B3E">
        <w:rPr>
          <w:rStyle w:val="FootnoteReference"/>
        </w:rPr>
        <w:footnoteRef/>
      </w:r>
      <w:r w:rsidRPr="00C60B3E">
        <w:rPr>
          <w:sz w:val="20"/>
          <w:szCs w:val="20"/>
        </w:rPr>
        <w:t xml:space="preserve"> NY Times, June </w:t>
      </w:r>
      <w:proofErr w:type="gramStart"/>
      <w:r w:rsidRPr="00C60B3E">
        <w:rPr>
          <w:sz w:val="20"/>
          <w:szCs w:val="20"/>
        </w:rPr>
        <w:t>18</w:t>
      </w:r>
      <w:proofErr w:type="gramEnd"/>
      <w:r w:rsidRPr="00C60B3E">
        <w:rPr>
          <w:sz w:val="20"/>
          <w:szCs w:val="20"/>
        </w:rPr>
        <w:t xml:space="preserve"> 2013 “</w:t>
      </w:r>
      <w:r w:rsidRPr="00C60B3E">
        <w:rPr>
          <w:rStyle w:val="balancedheadline"/>
          <w:i/>
          <w:iCs/>
          <w:color w:val="121212"/>
          <w:sz w:val="20"/>
          <w:szCs w:val="20"/>
          <w:bdr w:val="none" w:sz="0" w:space="0" w:color="auto" w:frame="1"/>
        </w:rPr>
        <w:t>N.S.A. Chief Says Surveillance Has Stopped Dozens of Plots”</w:t>
      </w:r>
    </w:p>
    <w:p w14:paraId="6726AEA1" w14:textId="583A390E" w:rsidR="007A3935" w:rsidRPr="00C60B3E" w:rsidRDefault="007A3935" w:rsidP="00C60B3E">
      <w:pPr>
        <w:pStyle w:val="NoSpacing"/>
        <w:rPr>
          <w:i/>
          <w:sz w:val="20"/>
          <w:szCs w:val="20"/>
        </w:rPr>
      </w:pPr>
      <w:r w:rsidRPr="00C60B3E">
        <w:rPr>
          <w:i/>
          <w:sz w:val="20"/>
          <w:szCs w:val="20"/>
        </w:rPr>
        <w:t>https://www.nytimes.com/2013/06/19/us/politics/nsa-chief-says-surveillance-has-stopped-dozens-of-plots.html</w:t>
      </w:r>
    </w:p>
  </w:footnote>
  <w:footnote w:id="9">
    <w:p w14:paraId="239510EA" w14:textId="43247359" w:rsidR="00341E30" w:rsidRPr="00C60B3E" w:rsidRDefault="00341E30" w:rsidP="00C60B3E">
      <w:pPr>
        <w:pStyle w:val="NoSpacing"/>
        <w:rPr>
          <w:rFonts w:ascii="Georgia" w:hAnsi="Georgia"/>
          <w:i/>
          <w:iCs/>
          <w:color w:val="121212"/>
          <w:sz w:val="20"/>
          <w:szCs w:val="20"/>
        </w:rPr>
      </w:pPr>
      <w:r w:rsidRPr="00C60B3E">
        <w:rPr>
          <w:rStyle w:val="FootnoteReference"/>
        </w:rPr>
        <w:footnoteRef/>
      </w:r>
      <w:r w:rsidRPr="00C60B3E">
        <w:rPr>
          <w:sz w:val="20"/>
          <w:szCs w:val="20"/>
        </w:rPr>
        <w:t xml:space="preserve"> NY Times, March 4</w:t>
      </w:r>
      <w:r w:rsidRPr="00C60B3E">
        <w:rPr>
          <w:sz w:val="20"/>
          <w:szCs w:val="20"/>
          <w:vertAlign w:val="superscript"/>
        </w:rPr>
        <w:t>th</w:t>
      </w:r>
      <w:proofErr w:type="gramStart"/>
      <w:r w:rsidRPr="00C60B3E">
        <w:rPr>
          <w:sz w:val="20"/>
          <w:szCs w:val="20"/>
        </w:rPr>
        <w:t xml:space="preserve"> 2019</w:t>
      </w:r>
      <w:proofErr w:type="gramEnd"/>
      <w:r w:rsidRPr="00C60B3E">
        <w:rPr>
          <w:sz w:val="20"/>
          <w:szCs w:val="20"/>
        </w:rPr>
        <w:t xml:space="preserve"> “</w:t>
      </w:r>
      <w:r w:rsidRPr="00C60B3E">
        <w:rPr>
          <w:rStyle w:val="balancedheadline"/>
          <w:iCs/>
          <w:color w:val="121212"/>
          <w:sz w:val="20"/>
          <w:szCs w:val="20"/>
          <w:bdr w:val="none" w:sz="0" w:space="0" w:color="auto" w:frame="1"/>
        </w:rPr>
        <w:t xml:space="preserve">Disputed N.S.A. Phone Program Is Shut Down, Aide Says” </w:t>
      </w:r>
      <w:r w:rsidRPr="00C60B3E">
        <w:rPr>
          <w:i/>
          <w:sz w:val="20"/>
          <w:szCs w:val="20"/>
        </w:rPr>
        <w:t>https://www.nytimes.com/2019/03/04/us/politics/nsa-phone-records-program-shut-down.html</w:t>
      </w:r>
    </w:p>
  </w:footnote>
  <w:footnote w:id="10">
    <w:p w14:paraId="3B9BFC82" w14:textId="5DCD87EC" w:rsidR="003275EC" w:rsidRPr="00F140CF" w:rsidRDefault="003275EC" w:rsidP="003275EC">
      <w:pPr>
        <w:pStyle w:val="NoSpacing"/>
        <w:rPr>
          <w:i/>
          <w:sz w:val="20"/>
        </w:rPr>
      </w:pPr>
      <w:r>
        <w:rPr>
          <w:rStyle w:val="FootnoteReference"/>
        </w:rPr>
        <w:footnoteRef/>
      </w:r>
      <w:r>
        <w:t xml:space="preserve"> </w:t>
      </w:r>
      <w:r w:rsidRPr="003275EC">
        <w:rPr>
          <w:sz w:val="20"/>
        </w:rPr>
        <w:t>The Atlantic, December 2013 “</w:t>
      </w:r>
      <w:r w:rsidRPr="003275EC">
        <w:rPr>
          <w:bCs/>
          <w:color w:val="000000"/>
          <w:spacing w:val="-15"/>
          <w:sz w:val="20"/>
          <w:shd w:val="clear" w:color="auto" w:fill="FFFFFF"/>
        </w:rPr>
        <w:t>What You Need to Know about the Third-Party Doctrine</w:t>
      </w:r>
      <w:r w:rsidRPr="003275EC">
        <w:rPr>
          <w:bCs/>
          <w:spacing w:val="-15"/>
          <w:sz w:val="20"/>
          <w:shd w:val="clear" w:color="auto" w:fill="FFFFFF"/>
        </w:rPr>
        <w:t>”</w:t>
      </w:r>
      <w:r w:rsidR="00F140CF">
        <w:rPr>
          <w:bCs/>
          <w:spacing w:val="-15"/>
          <w:sz w:val="20"/>
          <w:shd w:val="clear" w:color="auto" w:fill="FFFFFF"/>
        </w:rPr>
        <w:t xml:space="preserve"> </w:t>
      </w:r>
      <w:r w:rsidRPr="00F140CF">
        <w:rPr>
          <w:i/>
          <w:sz w:val="20"/>
        </w:rPr>
        <w:t>https://www.theatlantic.com/technology/archive/2013/12/what-you-need-to-know-about-the-third-party-doctrine/282721/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F1639" w14:textId="6F732B25" w:rsidR="00366C2D" w:rsidRPr="00F93E85" w:rsidRDefault="00601667" w:rsidP="00242B16">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MonumentMembers.com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7EB3FF6"/>
    <w:multiLevelType w:val="hybridMultilevel"/>
    <w:tmpl w:val="1584E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E86CE8"/>
    <w:multiLevelType w:val="hybridMultilevel"/>
    <w:tmpl w:val="A802B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242670"/>
    <w:multiLevelType w:val="hybridMultilevel"/>
    <w:tmpl w:val="C6007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969A8"/>
    <w:multiLevelType w:val="hybridMultilevel"/>
    <w:tmpl w:val="23D02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8E1E69"/>
    <w:multiLevelType w:val="multilevel"/>
    <w:tmpl w:val="8CD2D4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0D191C"/>
    <w:multiLevelType w:val="hybridMultilevel"/>
    <w:tmpl w:val="174634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AC2CAB"/>
    <w:multiLevelType w:val="hybridMultilevel"/>
    <w:tmpl w:val="AA9A5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086D4A"/>
    <w:multiLevelType w:val="hybridMultilevel"/>
    <w:tmpl w:val="0AC0C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087F40"/>
    <w:multiLevelType w:val="hybridMultilevel"/>
    <w:tmpl w:val="04C8E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D9F0CBC"/>
    <w:multiLevelType w:val="multilevel"/>
    <w:tmpl w:val="9306C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7"/>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2"/>
  </w:num>
  <w:num w:numId="15">
    <w:abstractNumId w:val="19"/>
  </w:num>
  <w:num w:numId="16">
    <w:abstractNumId w:val="14"/>
  </w:num>
  <w:num w:numId="17">
    <w:abstractNumId w:val="18"/>
  </w:num>
  <w:num w:numId="18">
    <w:abstractNumId w:val="15"/>
  </w:num>
  <w:num w:numId="19">
    <w:abstractNumId w:val="21"/>
  </w:num>
  <w:num w:numId="20">
    <w:abstractNumId w:val="13"/>
  </w:num>
  <w:num w:numId="21">
    <w:abstractNumId w:val="20"/>
  </w:num>
  <w:num w:numId="22">
    <w:abstractNumId w:val="16"/>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01F1C"/>
    <w:rsid w:val="00024600"/>
    <w:rsid w:val="0002539F"/>
    <w:rsid w:val="0002588B"/>
    <w:rsid w:val="00026A1B"/>
    <w:rsid w:val="00035F0E"/>
    <w:rsid w:val="00036A22"/>
    <w:rsid w:val="00036F71"/>
    <w:rsid w:val="00066F70"/>
    <w:rsid w:val="00087308"/>
    <w:rsid w:val="000939A4"/>
    <w:rsid w:val="000A0075"/>
    <w:rsid w:val="000A7CFD"/>
    <w:rsid w:val="000A7EC2"/>
    <w:rsid w:val="000B4939"/>
    <w:rsid w:val="000C3D04"/>
    <w:rsid w:val="000C4B55"/>
    <w:rsid w:val="000C7FF3"/>
    <w:rsid w:val="000D0262"/>
    <w:rsid w:val="000D6C57"/>
    <w:rsid w:val="000E74AD"/>
    <w:rsid w:val="001160B3"/>
    <w:rsid w:val="001209C1"/>
    <w:rsid w:val="00136428"/>
    <w:rsid w:val="00143020"/>
    <w:rsid w:val="0014404A"/>
    <w:rsid w:val="001553D2"/>
    <w:rsid w:val="00155780"/>
    <w:rsid w:val="00155F63"/>
    <w:rsid w:val="00167A41"/>
    <w:rsid w:val="0017070D"/>
    <w:rsid w:val="0017188D"/>
    <w:rsid w:val="00176AD8"/>
    <w:rsid w:val="00177F0D"/>
    <w:rsid w:val="00181CFA"/>
    <w:rsid w:val="0018367A"/>
    <w:rsid w:val="00186E68"/>
    <w:rsid w:val="00187088"/>
    <w:rsid w:val="001A3E8D"/>
    <w:rsid w:val="001B03E9"/>
    <w:rsid w:val="001B7397"/>
    <w:rsid w:val="001C1A12"/>
    <w:rsid w:val="001C1C9D"/>
    <w:rsid w:val="001C79A7"/>
    <w:rsid w:val="001D28D0"/>
    <w:rsid w:val="001D5DB1"/>
    <w:rsid w:val="001D739C"/>
    <w:rsid w:val="001E2C45"/>
    <w:rsid w:val="001E7351"/>
    <w:rsid w:val="001F2E41"/>
    <w:rsid w:val="001F759F"/>
    <w:rsid w:val="00201483"/>
    <w:rsid w:val="00202A02"/>
    <w:rsid w:val="002132B8"/>
    <w:rsid w:val="00214B4F"/>
    <w:rsid w:val="00215C98"/>
    <w:rsid w:val="002207D8"/>
    <w:rsid w:val="00230E29"/>
    <w:rsid w:val="0023406C"/>
    <w:rsid w:val="00242616"/>
    <w:rsid w:val="00242B16"/>
    <w:rsid w:val="0024499A"/>
    <w:rsid w:val="002474ED"/>
    <w:rsid w:val="00251325"/>
    <w:rsid w:val="00260573"/>
    <w:rsid w:val="00273C9C"/>
    <w:rsid w:val="002746D7"/>
    <w:rsid w:val="00285253"/>
    <w:rsid w:val="002871B9"/>
    <w:rsid w:val="00287986"/>
    <w:rsid w:val="0029523C"/>
    <w:rsid w:val="002A3A09"/>
    <w:rsid w:val="002A6F2D"/>
    <w:rsid w:val="002A7AD9"/>
    <w:rsid w:val="002B01DC"/>
    <w:rsid w:val="002B415B"/>
    <w:rsid w:val="002B6EA3"/>
    <w:rsid w:val="002D2096"/>
    <w:rsid w:val="002D6E18"/>
    <w:rsid w:val="002E0D16"/>
    <w:rsid w:val="002E4D9A"/>
    <w:rsid w:val="002E733C"/>
    <w:rsid w:val="002E775B"/>
    <w:rsid w:val="002F1E1E"/>
    <w:rsid w:val="002F418D"/>
    <w:rsid w:val="0030317D"/>
    <w:rsid w:val="00313DFA"/>
    <w:rsid w:val="00317D91"/>
    <w:rsid w:val="00317F32"/>
    <w:rsid w:val="00320337"/>
    <w:rsid w:val="003245CF"/>
    <w:rsid w:val="00324E5A"/>
    <w:rsid w:val="00325740"/>
    <w:rsid w:val="003275EC"/>
    <w:rsid w:val="003306D5"/>
    <w:rsid w:val="00341E30"/>
    <w:rsid w:val="003424D5"/>
    <w:rsid w:val="00366C2D"/>
    <w:rsid w:val="00370B2F"/>
    <w:rsid w:val="00381981"/>
    <w:rsid w:val="003870BA"/>
    <w:rsid w:val="003875C7"/>
    <w:rsid w:val="003879E4"/>
    <w:rsid w:val="00391968"/>
    <w:rsid w:val="00394059"/>
    <w:rsid w:val="00394747"/>
    <w:rsid w:val="00395922"/>
    <w:rsid w:val="003A00FF"/>
    <w:rsid w:val="003A01CA"/>
    <w:rsid w:val="003A3FE9"/>
    <w:rsid w:val="003B62BB"/>
    <w:rsid w:val="003D2E75"/>
    <w:rsid w:val="003D4A5D"/>
    <w:rsid w:val="003D6D26"/>
    <w:rsid w:val="003F08B6"/>
    <w:rsid w:val="003F6B58"/>
    <w:rsid w:val="004005BF"/>
    <w:rsid w:val="00401F40"/>
    <w:rsid w:val="00403F0D"/>
    <w:rsid w:val="00412A91"/>
    <w:rsid w:val="0041356E"/>
    <w:rsid w:val="004245E1"/>
    <w:rsid w:val="00427D83"/>
    <w:rsid w:val="00434944"/>
    <w:rsid w:val="00437752"/>
    <w:rsid w:val="00441E2B"/>
    <w:rsid w:val="0044673C"/>
    <w:rsid w:val="004477E0"/>
    <w:rsid w:val="00450D96"/>
    <w:rsid w:val="0045129C"/>
    <w:rsid w:val="004525B1"/>
    <w:rsid w:val="00461793"/>
    <w:rsid w:val="004628F0"/>
    <w:rsid w:val="00465C5B"/>
    <w:rsid w:val="00467715"/>
    <w:rsid w:val="00477474"/>
    <w:rsid w:val="00484792"/>
    <w:rsid w:val="00484CFD"/>
    <w:rsid w:val="00494367"/>
    <w:rsid w:val="00496ADA"/>
    <w:rsid w:val="004A484F"/>
    <w:rsid w:val="004B0E36"/>
    <w:rsid w:val="004B2977"/>
    <w:rsid w:val="004C22D3"/>
    <w:rsid w:val="004D00CE"/>
    <w:rsid w:val="004D46C6"/>
    <w:rsid w:val="004E1B57"/>
    <w:rsid w:val="004E386D"/>
    <w:rsid w:val="004E4B6C"/>
    <w:rsid w:val="004F2E75"/>
    <w:rsid w:val="004F4E71"/>
    <w:rsid w:val="00504A06"/>
    <w:rsid w:val="005109A2"/>
    <w:rsid w:val="00514B92"/>
    <w:rsid w:val="00522018"/>
    <w:rsid w:val="00522E9B"/>
    <w:rsid w:val="00523E33"/>
    <w:rsid w:val="00524635"/>
    <w:rsid w:val="005332D4"/>
    <w:rsid w:val="00533529"/>
    <w:rsid w:val="005375A1"/>
    <w:rsid w:val="005377CE"/>
    <w:rsid w:val="005500AB"/>
    <w:rsid w:val="00550E32"/>
    <w:rsid w:val="005552CD"/>
    <w:rsid w:val="00556F84"/>
    <w:rsid w:val="0056534C"/>
    <w:rsid w:val="00567088"/>
    <w:rsid w:val="0057489E"/>
    <w:rsid w:val="00576029"/>
    <w:rsid w:val="00577C85"/>
    <w:rsid w:val="00583565"/>
    <w:rsid w:val="005854E1"/>
    <w:rsid w:val="0059041A"/>
    <w:rsid w:val="00594644"/>
    <w:rsid w:val="00596F32"/>
    <w:rsid w:val="005A05B9"/>
    <w:rsid w:val="005A2DA3"/>
    <w:rsid w:val="005C64A3"/>
    <w:rsid w:val="005C6C1E"/>
    <w:rsid w:val="005D4A70"/>
    <w:rsid w:val="005E10DA"/>
    <w:rsid w:val="005F75CA"/>
    <w:rsid w:val="00601667"/>
    <w:rsid w:val="00615C80"/>
    <w:rsid w:val="00624683"/>
    <w:rsid w:val="00650031"/>
    <w:rsid w:val="0065334A"/>
    <w:rsid w:val="00655A6A"/>
    <w:rsid w:val="00660A11"/>
    <w:rsid w:val="00661A85"/>
    <w:rsid w:val="00677CB9"/>
    <w:rsid w:val="00677F03"/>
    <w:rsid w:val="00690FE3"/>
    <w:rsid w:val="00692EBF"/>
    <w:rsid w:val="00693994"/>
    <w:rsid w:val="006A2840"/>
    <w:rsid w:val="006A54E0"/>
    <w:rsid w:val="006A5D68"/>
    <w:rsid w:val="006B4214"/>
    <w:rsid w:val="006B649D"/>
    <w:rsid w:val="006B6DBF"/>
    <w:rsid w:val="006B7761"/>
    <w:rsid w:val="006C6E28"/>
    <w:rsid w:val="006D163C"/>
    <w:rsid w:val="006D5E17"/>
    <w:rsid w:val="006D65C2"/>
    <w:rsid w:val="006E18C5"/>
    <w:rsid w:val="006F0751"/>
    <w:rsid w:val="006F69BA"/>
    <w:rsid w:val="006F6D0D"/>
    <w:rsid w:val="007032F3"/>
    <w:rsid w:val="00712E93"/>
    <w:rsid w:val="00716957"/>
    <w:rsid w:val="00723895"/>
    <w:rsid w:val="00727B89"/>
    <w:rsid w:val="007312A9"/>
    <w:rsid w:val="007406E0"/>
    <w:rsid w:val="0074619F"/>
    <w:rsid w:val="00751E09"/>
    <w:rsid w:val="007548CC"/>
    <w:rsid w:val="00760D3B"/>
    <w:rsid w:val="007648E4"/>
    <w:rsid w:val="00767B97"/>
    <w:rsid w:val="007728C1"/>
    <w:rsid w:val="00781C03"/>
    <w:rsid w:val="0078401F"/>
    <w:rsid w:val="00790AB3"/>
    <w:rsid w:val="00797218"/>
    <w:rsid w:val="007A3935"/>
    <w:rsid w:val="007A3D03"/>
    <w:rsid w:val="007B44AF"/>
    <w:rsid w:val="007B7A6A"/>
    <w:rsid w:val="007B7DB8"/>
    <w:rsid w:val="007C5038"/>
    <w:rsid w:val="007C5D11"/>
    <w:rsid w:val="007C5ED6"/>
    <w:rsid w:val="007D11F4"/>
    <w:rsid w:val="007D4E68"/>
    <w:rsid w:val="007E358D"/>
    <w:rsid w:val="007E4B0D"/>
    <w:rsid w:val="007F46A3"/>
    <w:rsid w:val="00817594"/>
    <w:rsid w:val="00817E46"/>
    <w:rsid w:val="00820FEB"/>
    <w:rsid w:val="008222FF"/>
    <w:rsid w:val="00824D61"/>
    <w:rsid w:val="00826C88"/>
    <w:rsid w:val="0083081F"/>
    <w:rsid w:val="00832A33"/>
    <w:rsid w:val="00836F56"/>
    <w:rsid w:val="0084217A"/>
    <w:rsid w:val="0084445E"/>
    <w:rsid w:val="00852B85"/>
    <w:rsid w:val="008554E8"/>
    <w:rsid w:val="00862098"/>
    <w:rsid w:val="00866B14"/>
    <w:rsid w:val="0089461A"/>
    <w:rsid w:val="008971D2"/>
    <w:rsid w:val="008A0054"/>
    <w:rsid w:val="008A02F5"/>
    <w:rsid w:val="008A398B"/>
    <w:rsid w:val="008A3C36"/>
    <w:rsid w:val="008B144F"/>
    <w:rsid w:val="008B1D5D"/>
    <w:rsid w:val="008B581F"/>
    <w:rsid w:val="008B612B"/>
    <w:rsid w:val="008C6198"/>
    <w:rsid w:val="008C7F5C"/>
    <w:rsid w:val="008D3BC1"/>
    <w:rsid w:val="008D6F67"/>
    <w:rsid w:val="008E5E3E"/>
    <w:rsid w:val="00901AAE"/>
    <w:rsid w:val="00921B79"/>
    <w:rsid w:val="0093085E"/>
    <w:rsid w:val="009343F0"/>
    <w:rsid w:val="009465F4"/>
    <w:rsid w:val="00952AC5"/>
    <w:rsid w:val="009564C3"/>
    <w:rsid w:val="00961F5B"/>
    <w:rsid w:val="009643FA"/>
    <w:rsid w:val="00967CE6"/>
    <w:rsid w:val="00970388"/>
    <w:rsid w:val="00970BC7"/>
    <w:rsid w:val="0097263C"/>
    <w:rsid w:val="00974F1E"/>
    <w:rsid w:val="0098585A"/>
    <w:rsid w:val="009A7207"/>
    <w:rsid w:val="009B35DF"/>
    <w:rsid w:val="009C0BAC"/>
    <w:rsid w:val="009C4E0C"/>
    <w:rsid w:val="009C663E"/>
    <w:rsid w:val="009C7ABE"/>
    <w:rsid w:val="009D172C"/>
    <w:rsid w:val="009D59E3"/>
    <w:rsid w:val="009D67FA"/>
    <w:rsid w:val="009E5117"/>
    <w:rsid w:val="009F0369"/>
    <w:rsid w:val="009F27CB"/>
    <w:rsid w:val="00A044EE"/>
    <w:rsid w:val="00A04DAF"/>
    <w:rsid w:val="00A1191D"/>
    <w:rsid w:val="00A15793"/>
    <w:rsid w:val="00A34363"/>
    <w:rsid w:val="00A3517F"/>
    <w:rsid w:val="00A44372"/>
    <w:rsid w:val="00A45FC7"/>
    <w:rsid w:val="00A50E80"/>
    <w:rsid w:val="00A66C2E"/>
    <w:rsid w:val="00A66D7A"/>
    <w:rsid w:val="00A67C6B"/>
    <w:rsid w:val="00A70B44"/>
    <w:rsid w:val="00A7240F"/>
    <w:rsid w:val="00A76C09"/>
    <w:rsid w:val="00A80AFE"/>
    <w:rsid w:val="00A84C0B"/>
    <w:rsid w:val="00A91788"/>
    <w:rsid w:val="00AA28AA"/>
    <w:rsid w:val="00AB345E"/>
    <w:rsid w:val="00AB5629"/>
    <w:rsid w:val="00AC2A69"/>
    <w:rsid w:val="00AD03B3"/>
    <w:rsid w:val="00AD693F"/>
    <w:rsid w:val="00AE26E1"/>
    <w:rsid w:val="00AE6F12"/>
    <w:rsid w:val="00B06952"/>
    <w:rsid w:val="00B0710C"/>
    <w:rsid w:val="00B129C4"/>
    <w:rsid w:val="00B173C7"/>
    <w:rsid w:val="00B17F5D"/>
    <w:rsid w:val="00B246C9"/>
    <w:rsid w:val="00B319BC"/>
    <w:rsid w:val="00B367BD"/>
    <w:rsid w:val="00B44B04"/>
    <w:rsid w:val="00B50187"/>
    <w:rsid w:val="00B53204"/>
    <w:rsid w:val="00B66968"/>
    <w:rsid w:val="00B716E8"/>
    <w:rsid w:val="00B80195"/>
    <w:rsid w:val="00B93680"/>
    <w:rsid w:val="00B94EAF"/>
    <w:rsid w:val="00BA1F85"/>
    <w:rsid w:val="00BA4CE8"/>
    <w:rsid w:val="00BA65EE"/>
    <w:rsid w:val="00BB4DFD"/>
    <w:rsid w:val="00BC28D7"/>
    <w:rsid w:val="00BC3334"/>
    <w:rsid w:val="00BC5946"/>
    <w:rsid w:val="00BD0456"/>
    <w:rsid w:val="00BF2262"/>
    <w:rsid w:val="00C00A16"/>
    <w:rsid w:val="00C17C36"/>
    <w:rsid w:val="00C261BF"/>
    <w:rsid w:val="00C30327"/>
    <w:rsid w:val="00C34B5F"/>
    <w:rsid w:val="00C352C4"/>
    <w:rsid w:val="00C41108"/>
    <w:rsid w:val="00C5327F"/>
    <w:rsid w:val="00C54BE8"/>
    <w:rsid w:val="00C6050F"/>
    <w:rsid w:val="00C60B3E"/>
    <w:rsid w:val="00C63A37"/>
    <w:rsid w:val="00C72A45"/>
    <w:rsid w:val="00C76026"/>
    <w:rsid w:val="00C77B18"/>
    <w:rsid w:val="00C828F1"/>
    <w:rsid w:val="00C82E52"/>
    <w:rsid w:val="00C85DC4"/>
    <w:rsid w:val="00C910B5"/>
    <w:rsid w:val="00CA0BE8"/>
    <w:rsid w:val="00CA368E"/>
    <w:rsid w:val="00CA4464"/>
    <w:rsid w:val="00CB72D7"/>
    <w:rsid w:val="00CC0BD2"/>
    <w:rsid w:val="00CC55A8"/>
    <w:rsid w:val="00CC7322"/>
    <w:rsid w:val="00CE0BDE"/>
    <w:rsid w:val="00CE2409"/>
    <w:rsid w:val="00CF53C9"/>
    <w:rsid w:val="00D05244"/>
    <w:rsid w:val="00D1063F"/>
    <w:rsid w:val="00D22B65"/>
    <w:rsid w:val="00D3179D"/>
    <w:rsid w:val="00D3412A"/>
    <w:rsid w:val="00D47ABD"/>
    <w:rsid w:val="00D50AE7"/>
    <w:rsid w:val="00D5318B"/>
    <w:rsid w:val="00D53BB4"/>
    <w:rsid w:val="00D65BA3"/>
    <w:rsid w:val="00D7593C"/>
    <w:rsid w:val="00D75A27"/>
    <w:rsid w:val="00D774D8"/>
    <w:rsid w:val="00D80AEB"/>
    <w:rsid w:val="00D835F3"/>
    <w:rsid w:val="00D84EEC"/>
    <w:rsid w:val="00D874F1"/>
    <w:rsid w:val="00D957E0"/>
    <w:rsid w:val="00DA4877"/>
    <w:rsid w:val="00DB367B"/>
    <w:rsid w:val="00DB7B76"/>
    <w:rsid w:val="00DC091C"/>
    <w:rsid w:val="00DC12FF"/>
    <w:rsid w:val="00DC2D52"/>
    <w:rsid w:val="00DC3062"/>
    <w:rsid w:val="00DC356E"/>
    <w:rsid w:val="00DC641F"/>
    <w:rsid w:val="00DD7315"/>
    <w:rsid w:val="00DE35AE"/>
    <w:rsid w:val="00DF2B1B"/>
    <w:rsid w:val="00DF6781"/>
    <w:rsid w:val="00E117BA"/>
    <w:rsid w:val="00E12F8B"/>
    <w:rsid w:val="00E13658"/>
    <w:rsid w:val="00E13FFB"/>
    <w:rsid w:val="00E14E49"/>
    <w:rsid w:val="00E159E5"/>
    <w:rsid w:val="00E168F3"/>
    <w:rsid w:val="00E2065B"/>
    <w:rsid w:val="00E27DAA"/>
    <w:rsid w:val="00E421A5"/>
    <w:rsid w:val="00E52C55"/>
    <w:rsid w:val="00E53265"/>
    <w:rsid w:val="00E55B6D"/>
    <w:rsid w:val="00E7323C"/>
    <w:rsid w:val="00E73736"/>
    <w:rsid w:val="00E74FBA"/>
    <w:rsid w:val="00E87ADC"/>
    <w:rsid w:val="00EA6EA5"/>
    <w:rsid w:val="00EA7249"/>
    <w:rsid w:val="00EB12E7"/>
    <w:rsid w:val="00EB2ACC"/>
    <w:rsid w:val="00EB3597"/>
    <w:rsid w:val="00EB4FAD"/>
    <w:rsid w:val="00EC2808"/>
    <w:rsid w:val="00ED189D"/>
    <w:rsid w:val="00ED308B"/>
    <w:rsid w:val="00ED720E"/>
    <w:rsid w:val="00EE2E33"/>
    <w:rsid w:val="00EE58FB"/>
    <w:rsid w:val="00EF7C7B"/>
    <w:rsid w:val="00EF7D15"/>
    <w:rsid w:val="00F02F81"/>
    <w:rsid w:val="00F1002C"/>
    <w:rsid w:val="00F13DA4"/>
    <w:rsid w:val="00F140CF"/>
    <w:rsid w:val="00F1550A"/>
    <w:rsid w:val="00F156CA"/>
    <w:rsid w:val="00F2154D"/>
    <w:rsid w:val="00F232A0"/>
    <w:rsid w:val="00F25D20"/>
    <w:rsid w:val="00F2783E"/>
    <w:rsid w:val="00F30023"/>
    <w:rsid w:val="00F35532"/>
    <w:rsid w:val="00F53458"/>
    <w:rsid w:val="00F56280"/>
    <w:rsid w:val="00F67237"/>
    <w:rsid w:val="00F7231E"/>
    <w:rsid w:val="00F72AFE"/>
    <w:rsid w:val="00F802AE"/>
    <w:rsid w:val="00F81B2D"/>
    <w:rsid w:val="00F826A1"/>
    <w:rsid w:val="00F97F4D"/>
    <w:rsid w:val="00FA5DC0"/>
    <w:rsid w:val="00FA5F1C"/>
    <w:rsid w:val="00FB6422"/>
    <w:rsid w:val="00FB778D"/>
    <w:rsid w:val="00FC5CC8"/>
    <w:rsid w:val="00FC66D3"/>
    <w:rsid w:val="00FD4940"/>
    <w:rsid w:val="00FE7C6B"/>
    <w:rsid w:val="00FF5359"/>
    <w:rsid w:val="00FF5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1D28D0"/>
    <w:pPr>
      <w:pBdr>
        <w:top w:val="nil"/>
        <w:left w:val="nil"/>
        <w:bottom w:val="nil"/>
        <w:right w:val="nil"/>
        <w:between w:val="nil"/>
        <w:bar w:val="nil"/>
      </w:pBdr>
      <w:spacing w:line="360" w:lineRule="auto"/>
    </w:pPr>
    <w:rPr>
      <w:rFonts w:ascii="Times New Roman" w:eastAsia="Helvetica" w:hAnsi="Times New Roman" w:cs="Helvetica"/>
      <w:color w:val="000000"/>
      <w:bdr w:val="nil"/>
    </w:rPr>
  </w:style>
  <w:style w:type="character" w:customStyle="1" w:styleId="FootnoteTextChar">
    <w:name w:val="Footnote Text Char"/>
    <w:basedOn w:val="DefaultParagraphFont"/>
    <w:link w:val="FootnoteText"/>
    <w:rsid w:val="001D28D0"/>
    <w:rPr>
      <w:rFonts w:ascii="Times New Roman" w:eastAsia="Helvetica" w:hAnsi="Times New Roman" w:cs="Helvetica"/>
      <w:color w:val="00000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styleId="EndnoteText">
    <w:name w:val="endnote text"/>
    <w:basedOn w:val="Normal"/>
    <w:link w:val="EndnoteTextChar"/>
    <w:uiPriority w:val="99"/>
    <w:unhideWhenUsed/>
    <w:rsid w:val="007E4B0D"/>
    <w:pPr>
      <w:spacing w:after="0" w:line="240" w:lineRule="auto"/>
    </w:pPr>
  </w:style>
  <w:style w:type="character" w:customStyle="1" w:styleId="EndnoteTextChar">
    <w:name w:val="Endnote Text Char"/>
    <w:basedOn w:val="DefaultParagraphFont"/>
    <w:link w:val="EndnoteText"/>
    <w:uiPriority w:val="99"/>
    <w:rsid w:val="007E4B0D"/>
    <w:rPr>
      <w:rFonts w:ascii="Times New Roman" w:hAnsi="Times New Roman" w:cs="Times New Roman"/>
    </w:rPr>
  </w:style>
  <w:style w:type="character" w:styleId="EndnoteReference">
    <w:name w:val="endnote reference"/>
    <w:basedOn w:val="DefaultParagraphFont"/>
    <w:uiPriority w:val="99"/>
    <w:unhideWhenUsed/>
    <w:rsid w:val="007E4B0D"/>
    <w:rPr>
      <w:vertAlign w:val="superscript"/>
    </w:rPr>
  </w:style>
  <w:style w:type="character" w:styleId="UnresolvedMention">
    <w:name w:val="Unresolved Mention"/>
    <w:basedOn w:val="DefaultParagraphFont"/>
    <w:uiPriority w:val="99"/>
    <w:rsid w:val="005377CE"/>
    <w:rPr>
      <w:color w:val="605E5C"/>
      <w:shd w:val="clear" w:color="auto" w:fill="E1DFDD"/>
    </w:rPr>
  </w:style>
  <w:style w:type="character" w:styleId="Emphasis">
    <w:name w:val="Emphasis"/>
    <w:basedOn w:val="DefaultParagraphFont"/>
    <w:uiPriority w:val="20"/>
    <w:qFormat/>
    <w:rsid w:val="00FF5359"/>
    <w:rPr>
      <w:i/>
      <w:iCs/>
    </w:rPr>
  </w:style>
  <w:style w:type="paragraph" w:styleId="BalloonText">
    <w:name w:val="Balloon Text"/>
    <w:basedOn w:val="Normal"/>
    <w:link w:val="BalloonTextChar"/>
    <w:uiPriority w:val="99"/>
    <w:semiHidden/>
    <w:unhideWhenUsed/>
    <w:rsid w:val="00961F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1F5B"/>
    <w:rPr>
      <w:rFonts w:ascii="Segoe UI" w:hAnsi="Segoe UI" w:cs="Segoe UI"/>
      <w:sz w:val="18"/>
      <w:szCs w:val="18"/>
    </w:rPr>
  </w:style>
  <w:style w:type="paragraph" w:customStyle="1" w:styleId="listbullet">
    <w:name w:val="listbullet"/>
    <w:basedOn w:val="Normal"/>
    <w:rsid w:val="0017070D"/>
    <w:pPr>
      <w:spacing w:before="100" w:beforeAutospacing="1" w:after="100" w:afterAutospacing="1" w:line="240" w:lineRule="auto"/>
    </w:pPr>
    <w:rPr>
      <w:rFonts w:eastAsia="Times New Roman"/>
    </w:rPr>
  </w:style>
  <w:style w:type="character" w:customStyle="1" w:styleId="pghighlight">
    <w:name w:val="pghighlight"/>
    <w:basedOn w:val="DefaultParagraphFont"/>
    <w:rsid w:val="0017070D"/>
  </w:style>
  <w:style w:type="paragraph" w:styleId="NoSpacing">
    <w:name w:val="No Spacing"/>
    <w:uiPriority w:val="1"/>
    <w:qFormat/>
    <w:rsid w:val="00E14E49"/>
    <w:rPr>
      <w:rFonts w:ascii="Times New Roman" w:hAnsi="Times New Roman" w:cs="Times New Roman"/>
    </w:rPr>
  </w:style>
  <w:style w:type="character" w:customStyle="1" w:styleId="balancedheadline">
    <w:name w:val="balancedheadline"/>
    <w:basedOn w:val="DefaultParagraphFont"/>
    <w:rsid w:val="007A3935"/>
  </w:style>
  <w:style w:type="character" w:customStyle="1" w:styleId="css-8i9d0s">
    <w:name w:val="css-8i9d0s"/>
    <w:basedOn w:val="DefaultParagraphFont"/>
    <w:rsid w:val="00341E30"/>
  </w:style>
  <w:style w:type="character" w:customStyle="1" w:styleId="css-vuqh7u">
    <w:name w:val="css-vuqh7u"/>
    <w:basedOn w:val="DefaultParagraphFont"/>
    <w:rsid w:val="00341E30"/>
  </w:style>
  <w:style w:type="character" w:customStyle="1" w:styleId="css-1ly73wi">
    <w:name w:val="css-1ly73wi"/>
    <w:basedOn w:val="DefaultParagraphFont"/>
    <w:rsid w:val="00341E30"/>
  </w:style>
  <w:style w:type="character" w:customStyle="1" w:styleId="css-1dv1kvn">
    <w:name w:val="css-1dv1kvn"/>
    <w:basedOn w:val="DefaultParagraphFont"/>
    <w:rsid w:val="00341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4298">
      <w:bodyDiv w:val="1"/>
      <w:marLeft w:val="0"/>
      <w:marRight w:val="0"/>
      <w:marTop w:val="0"/>
      <w:marBottom w:val="0"/>
      <w:divBdr>
        <w:top w:val="none" w:sz="0" w:space="0" w:color="auto"/>
        <w:left w:val="none" w:sz="0" w:space="0" w:color="auto"/>
        <w:bottom w:val="none" w:sz="0" w:space="0" w:color="auto"/>
        <w:right w:val="none" w:sz="0" w:space="0" w:color="auto"/>
      </w:divBdr>
    </w:div>
    <w:div w:id="219170070">
      <w:bodyDiv w:val="1"/>
      <w:marLeft w:val="0"/>
      <w:marRight w:val="0"/>
      <w:marTop w:val="0"/>
      <w:marBottom w:val="0"/>
      <w:divBdr>
        <w:top w:val="none" w:sz="0" w:space="0" w:color="auto"/>
        <w:left w:val="none" w:sz="0" w:space="0" w:color="auto"/>
        <w:bottom w:val="none" w:sz="0" w:space="0" w:color="auto"/>
        <w:right w:val="none" w:sz="0" w:space="0" w:color="auto"/>
      </w:divBdr>
    </w:div>
    <w:div w:id="366831045">
      <w:bodyDiv w:val="1"/>
      <w:marLeft w:val="0"/>
      <w:marRight w:val="0"/>
      <w:marTop w:val="0"/>
      <w:marBottom w:val="0"/>
      <w:divBdr>
        <w:top w:val="none" w:sz="0" w:space="0" w:color="auto"/>
        <w:left w:val="none" w:sz="0" w:space="0" w:color="auto"/>
        <w:bottom w:val="none" w:sz="0" w:space="0" w:color="auto"/>
        <w:right w:val="none" w:sz="0" w:space="0" w:color="auto"/>
      </w:divBdr>
    </w:div>
    <w:div w:id="443304183">
      <w:bodyDiv w:val="1"/>
      <w:marLeft w:val="0"/>
      <w:marRight w:val="0"/>
      <w:marTop w:val="0"/>
      <w:marBottom w:val="0"/>
      <w:divBdr>
        <w:top w:val="none" w:sz="0" w:space="0" w:color="auto"/>
        <w:left w:val="none" w:sz="0" w:space="0" w:color="auto"/>
        <w:bottom w:val="none" w:sz="0" w:space="0" w:color="auto"/>
        <w:right w:val="none" w:sz="0" w:space="0" w:color="auto"/>
      </w:divBdr>
    </w:div>
    <w:div w:id="495922014">
      <w:bodyDiv w:val="1"/>
      <w:marLeft w:val="0"/>
      <w:marRight w:val="0"/>
      <w:marTop w:val="0"/>
      <w:marBottom w:val="0"/>
      <w:divBdr>
        <w:top w:val="none" w:sz="0" w:space="0" w:color="auto"/>
        <w:left w:val="none" w:sz="0" w:space="0" w:color="auto"/>
        <w:bottom w:val="none" w:sz="0" w:space="0" w:color="auto"/>
        <w:right w:val="none" w:sz="0" w:space="0" w:color="auto"/>
      </w:divBdr>
    </w:div>
    <w:div w:id="521283489">
      <w:bodyDiv w:val="1"/>
      <w:marLeft w:val="0"/>
      <w:marRight w:val="0"/>
      <w:marTop w:val="0"/>
      <w:marBottom w:val="0"/>
      <w:divBdr>
        <w:top w:val="none" w:sz="0" w:space="0" w:color="auto"/>
        <w:left w:val="none" w:sz="0" w:space="0" w:color="auto"/>
        <w:bottom w:val="none" w:sz="0" w:space="0" w:color="auto"/>
        <w:right w:val="none" w:sz="0" w:space="0" w:color="auto"/>
      </w:divBdr>
    </w:div>
    <w:div w:id="521824424">
      <w:bodyDiv w:val="1"/>
      <w:marLeft w:val="0"/>
      <w:marRight w:val="0"/>
      <w:marTop w:val="0"/>
      <w:marBottom w:val="0"/>
      <w:divBdr>
        <w:top w:val="none" w:sz="0" w:space="0" w:color="auto"/>
        <w:left w:val="none" w:sz="0" w:space="0" w:color="auto"/>
        <w:bottom w:val="none" w:sz="0" w:space="0" w:color="auto"/>
        <w:right w:val="none" w:sz="0" w:space="0" w:color="auto"/>
      </w:divBdr>
    </w:div>
    <w:div w:id="610671011">
      <w:bodyDiv w:val="1"/>
      <w:marLeft w:val="0"/>
      <w:marRight w:val="0"/>
      <w:marTop w:val="0"/>
      <w:marBottom w:val="0"/>
      <w:divBdr>
        <w:top w:val="none" w:sz="0" w:space="0" w:color="auto"/>
        <w:left w:val="none" w:sz="0" w:space="0" w:color="auto"/>
        <w:bottom w:val="none" w:sz="0" w:space="0" w:color="auto"/>
        <w:right w:val="none" w:sz="0" w:space="0" w:color="auto"/>
      </w:divBdr>
    </w:div>
    <w:div w:id="642318590">
      <w:bodyDiv w:val="1"/>
      <w:marLeft w:val="0"/>
      <w:marRight w:val="0"/>
      <w:marTop w:val="0"/>
      <w:marBottom w:val="0"/>
      <w:divBdr>
        <w:top w:val="none" w:sz="0" w:space="0" w:color="auto"/>
        <w:left w:val="none" w:sz="0" w:space="0" w:color="auto"/>
        <w:bottom w:val="none" w:sz="0" w:space="0" w:color="auto"/>
        <w:right w:val="none" w:sz="0" w:space="0" w:color="auto"/>
      </w:divBdr>
    </w:div>
    <w:div w:id="830877391">
      <w:bodyDiv w:val="1"/>
      <w:marLeft w:val="0"/>
      <w:marRight w:val="0"/>
      <w:marTop w:val="0"/>
      <w:marBottom w:val="0"/>
      <w:divBdr>
        <w:top w:val="none" w:sz="0" w:space="0" w:color="auto"/>
        <w:left w:val="none" w:sz="0" w:space="0" w:color="auto"/>
        <w:bottom w:val="none" w:sz="0" w:space="0" w:color="auto"/>
        <w:right w:val="none" w:sz="0" w:space="0" w:color="auto"/>
      </w:divBdr>
    </w:div>
    <w:div w:id="842933144">
      <w:bodyDiv w:val="1"/>
      <w:marLeft w:val="0"/>
      <w:marRight w:val="0"/>
      <w:marTop w:val="0"/>
      <w:marBottom w:val="0"/>
      <w:divBdr>
        <w:top w:val="none" w:sz="0" w:space="0" w:color="auto"/>
        <w:left w:val="none" w:sz="0" w:space="0" w:color="auto"/>
        <w:bottom w:val="none" w:sz="0" w:space="0" w:color="auto"/>
        <w:right w:val="none" w:sz="0" w:space="0" w:color="auto"/>
      </w:divBdr>
    </w:div>
    <w:div w:id="868638761">
      <w:bodyDiv w:val="1"/>
      <w:marLeft w:val="0"/>
      <w:marRight w:val="0"/>
      <w:marTop w:val="0"/>
      <w:marBottom w:val="0"/>
      <w:divBdr>
        <w:top w:val="none" w:sz="0" w:space="0" w:color="auto"/>
        <w:left w:val="none" w:sz="0" w:space="0" w:color="auto"/>
        <w:bottom w:val="none" w:sz="0" w:space="0" w:color="auto"/>
        <w:right w:val="none" w:sz="0" w:space="0" w:color="auto"/>
      </w:divBdr>
    </w:div>
    <w:div w:id="888036544">
      <w:bodyDiv w:val="1"/>
      <w:marLeft w:val="0"/>
      <w:marRight w:val="0"/>
      <w:marTop w:val="0"/>
      <w:marBottom w:val="0"/>
      <w:divBdr>
        <w:top w:val="none" w:sz="0" w:space="0" w:color="auto"/>
        <w:left w:val="none" w:sz="0" w:space="0" w:color="auto"/>
        <w:bottom w:val="none" w:sz="0" w:space="0" w:color="auto"/>
        <w:right w:val="none" w:sz="0" w:space="0" w:color="auto"/>
      </w:divBdr>
      <w:divsChild>
        <w:div w:id="2042587988">
          <w:marLeft w:val="0"/>
          <w:marRight w:val="0"/>
          <w:marTop w:val="0"/>
          <w:marBottom w:val="0"/>
          <w:divBdr>
            <w:top w:val="none" w:sz="0" w:space="0" w:color="auto"/>
            <w:left w:val="none" w:sz="0" w:space="0" w:color="auto"/>
            <w:bottom w:val="none" w:sz="0" w:space="0" w:color="auto"/>
            <w:right w:val="none" w:sz="0" w:space="0" w:color="auto"/>
          </w:divBdr>
        </w:div>
        <w:div w:id="555047879">
          <w:marLeft w:val="0"/>
          <w:marRight w:val="0"/>
          <w:marTop w:val="0"/>
          <w:marBottom w:val="0"/>
          <w:divBdr>
            <w:top w:val="none" w:sz="0" w:space="0" w:color="auto"/>
            <w:left w:val="none" w:sz="0" w:space="0" w:color="auto"/>
            <w:bottom w:val="none" w:sz="0" w:space="0" w:color="auto"/>
            <w:right w:val="none" w:sz="0" w:space="0" w:color="auto"/>
          </w:divBdr>
        </w:div>
        <w:div w:id="1925726413">
          <w:marLeft w:val="0"/>
          <w:marRight w:val="0"/>
          <w:marTop w:val="0"/>
          <w:marBottom w:val="0"/>
          <w:divBdr>
            <w:top w:val="none" w:sz="0" w:space="0" w:color="auto"/>
            <w:left w:val="none" w:sz="0" w:space="0" w:color="auto"/>
            <w:bottom w:val="none" w:sz="0" w:space="0" w:color="auto"/>
            <w:right w:val="none" w:sz="0" w:space="0" w:color="auto"/>
          </w:divBdr>
        </w:div>
        <w:div w:id="299112044">
          <w:marLeft w:val="0"/>
          <w:marRight w:val="0"/>
          <w:marTop w:val="0"/>
          <w:marBottom w:val="0"/>
          <w:divBdr>
            <w:top w:val="none" w:sz="0" w:space="0" w:color="auto"/>
            <w:left w:val="none" w:sz="0" w:space="0" w:color="auto"/>
            <w:bottom w:val="none" w:sz="0" w:space="0" w:color="auto"/>
            <w:right w:val="none" w:sz="0" w:space="0" w:color="auto"/>
          </w:divBdr>
        </w:div>
        <w:div w:id="1228108325">
          <w:marLeft w:val="0"/>
          <w:marRight w:val="0"/>
          <w:marTop w:val="0"/>
          <w:marBottom w:val="0"/>
          <w:divBdr>
            <w:top w:val="none" w:sz="0" w:space="0" w:color="auto"/>
            <w:left w:val="none" w:sz="0" w:space="0" w:color="auto"/>
            <w:bottom w:val="none" w:sz="0" w:space="0" w:color="auto"/>
            <w:right w:val="none" w:sz="0" w:space="0" w:color="auto"/>
          </w:divBdr>
        </w:div>
        <w:div w:id="392432878">
          <w:marLeft w:val="0"/>
          <w:marRight w:val="0"/>
          <w:marTop w:val="0"/>
          <w:marBottom w:val="0"/>
          <w:divBdr>
            <w:top w:val="none" w:sz="0" w:space="0" w:color="auto"/>
            <w:left w:val="none" w:sz="0" w:space="0" w:color="auto"/>
            <w:bottom w:val="none" w:sz="0" w:space="0" w:color="auto"/>
            <w:right w:val="none" w:sz="0" w:space="0" w:color="auto"/>
          </w:divBdr>
        </w:div>
        <w:div w:id="279650182">
          <w:marLeft w:val="0"/>
          <w:marRight w:val="0"/>
          <w:marTop w:val="0"/>
          <w:marBottom w:val="0"/>
          <w:divBdr>
            <w:top w:val="none" w:sz="0" w:space="0" w:color="auto"/>
            <w:left w:val="none" w:sz="0" w:space="0" w:color="auto"/>
            <w:bottom w:val="none" w:sz="0" w:space="0" w:color="auto"/>
            <w:right w:val="none" w:sz="0" w:space="0" w:color="auto"/>
          </w:divBdr>
        </w:div>
        <w:div w:id="1644237378">
          <w:marLeft w:val="0"/>
          <w:marRight w:val="0"/>
          <w:marTop w:val="0"/>
          <w:marBottom w:val="0"/>
          <w:divBdr>
            <w:top w:val="none" w:sz="0" w:space="0" w:color="auto"/>
            <w:left w:val="none" w:sz="0" w:space="0" w:color="auto"/>
            <w:bottom w:val="none" w:sz="0" w:space="0" w:color="auto"/>
            <w:right w:val="none" w:sz="0" w:space="0" w:color="auto"/>
          </w:divBdr>
        </w:div>
        <w:div w:id="140082340">
          <w:marLeft w:val="0"/>
          <w:marRight w:val="0"/>
          <w:marTop w:val="0"/>
          <w:marBottom w:val="0"/>
          <w:divBdr>
            <w:top w:val="none" w:sz="0" w:space="0" w:color="auto"/>
            <w:left w:val="none" w:sz="0" w:space="0" w:color="auto"/>
            <w:bottom w:val="none" w:sz="0" w:space="0" w:color="auto"/>
            <w:right w:val="none" w:sz="0" w:space="0" w:color="auto"/>
          </w:divBdr>
        </w:div>
        <w:div w:id="1128208464">
          <w:marLeft w:val="0"/>
          <w:marRight w:val="0"/>
          <w:marTop w:val="0"/>
          <w:marBottom w:val="0"/>
          <w:divBdr>
            <w:top w:val="none" w:sz="0" w:space="0" w:color="auto"/>
            <w:left w:val="none" w:sz="0" w:space="0" w:color="auto"/>
            <w:bottom w:val="none" w:sz="0" w:space="0" w:color="auto"/>
            <w:right w:val="none" w:sz="0" w:space="0" w:color="auto"/>
          </w:divBdr>
        </w:div>
      </w:divsChild>
    </w:div>
    <w:div w:id="986397124">
      <w:bodyDiv w:val="1"/>
      <w:marLeft w:val="0"/>
      <w:marRight w:val="0"/>
      <w:marTop w:val="0"/>
      <w:marBottom w:val="0"/>
      <w:divBdr>
        <w:top w:val="none" w:sz="0" w:space="0" w:color="auto"/>
        <w:left w:val="none" w:sz="0" w:space="0" w:color="auto"/>
        <w:bottom w:val="none" w:sz="0" w:space="0" w:color="auto"/>
        <w:right w:val="none" w:sz="0" w:space="0" w:color="auto"/>
      </w:divBdr>
    </w:div>
    <w:div w:id="1039360971">
      <w:bodyDiv w:val="1"/>
      <w:marLeft w:val="0"/>
      <w:marRight w:val="0"/>
      <w:marTop w:val="0"/>
      <w:marBottom w:val="0"/>
      <w:divBdr>
        <w:top w:val="none" w:sz="0" w:space="0" w:color="auto"/>
        <w:left w:val="none" w:sz="0" w:space="0" w:color="auto"/>
        <w:bottom w:val="none" w:sz="0" w:space="0" w:color="auto"/>
        <w:right w:val="none" w:sz="0" w:space="0" w:color="auto"/>
      </w:divBdr>
    </w:div>
    <w:div w:id="1084254540">
      <w:bodyDiv w:val="1"/>
      <w:marLeft w:val="0"/>
      <w:marRight w:val="0"/>
      <w:marTop w:val="0"/>
      <w:marBottom w:val="0"/>
      <w:divBdr>
        <w:top w:val="none" w:sz="0" w:space="0" w:color="auto"/>
        <w:left w:val="none" w:sz="0" w:space="0" w:color="auto"/>
        <w:bottom w:val="none" w:sz="0" w:space="0" w:color="auto"/>
        <w:right w:val="none" w:sz="0" w:space="0" w:color="auto"/>
      </w:divBdr>
    </w:div>
    <w:div w:id="1088891930">
      <w:bodyDiv w:val="1"/>
      <w:marLeft w:val="0"/>
      <w:marRight w:val="0"/>
      <w:marTop w:val="0"/>
      <w:marBottom w:val="0"/>
      <w:divBdr>
        <w:top w:val="none" w:sz="0" w:space="0" w:color="auto"/>
        <w:left w:val="none" w:sz="0" w:space="0" w:color="auto"/>
        <w:bottom w:val="none" w:sz="0" w:space="0" w:color="auto"/>
        <w:right w:val="none" w:sz="0" w:space="0" w:color="auto"/>
      </w:divBdr>
    </w:div>
    <w:div w:id="1209225016">
      <w:bodyDiv w:val="1"/>
      <w:marLeft w:val="0"/>
      <w:marRight w:val="0"/>
      <w:marTop w:val="0"/>
      <w:marBottom w:val="0"/>
      <w:divBdr>
        <w:top w:val="none" w:sz="0" w:space="0" w:color="auto"/>
        <w:left w:val="none" w:sz="0" w:space="0" w:color="auto"/>
        <w:bottom w:val="none" w:sz="0" w:space="0" w:color="auto"/>
        <w:right w:val="none" w:sz="0" w:space="0" w:color="auto"/>
      </w:divBdr>
    </w:div>
    <w:div w:id="1270427740">
      <w:bodyDiv w:val="1"/>
      <w:marLeft w:val="0"/>
      <w:marRight w:val="0"/>
      <w:marTop w:val="0"/>
      <w:marBottom w:val="0"/>
      <w:divBdr>
        <w:top w:val="none" w:sz="0" w:space="0" w:color="auto"/>
        <w:left w:val="none" w:sz="0" w:space="0" w:color="auto"/>
        <w:bottom w:val="none" w:sz="0" w:space="0" w:color="auto"/>
        <w:right w:val="none" w:sz="0" w:space="0" w:color="auto"/>
      </w:divBdr>
    </w:div>
    <w:div w:id="1272779327">
      <w:bodyDiv w:val="1"/>
      <w:marLeft w:val="0"/>
      <w:marRight w:val="0"/>
      <w:marTop w:val="0"/>
      <w:marBottom w:val="0"/>
      <w:divBdr>
        <w:top w:val="none" w:sz="0" w:space="0" w:color="auto"/>
        <w:left w:val="none" w:sz="0" w:space="0" w:color="auto"/>
        <w:bottom w:val="none" w:sz="0" w:space="0" w:color="auto"/>
        <w:right w:val="none" w:sz="0" w:space="0" w:color="auto"/>
      </w:divBdr>
    </w:div>
    <w:div w:id="1281953603">
      <w:bodyDiv w:val="1"/>
      <w:marLeft w:val="0"/>
      <w:marRight w:val="0"/>
      <w:marTop w:val="0"/>
      <w:marBottom w:val="0"/>
      <w:divBdr>
        <w:top w:val="none" w:sz="0" w:space="0" w:color="auto"/>
        <w:left w:val="none" w:sz="0" w:space="0" w:color="auto"/>
        <w:bottom w:val="none" w:sz="0" w:space="0" w:color="auto"/>
        <w:right w:val="none" w:sz="0" w:space="0" w:color="auto"/>
      </w:divBdr>
    </w:div>
    <w:div w:id="1292711333">
      <w:bodyDiv w:val="1"/>
      <w:marLeft w:val="0"/>
      <w:marRight w:val="0"/>
      <w:marTop w:val="0"/>
      <w:marBottom w:val="0"/>
      <w:divBdr>
        <w:top w:val="none" w:sz="0" w:space="0" w:color="auto"/>
        <w:left w:val="none" w:sz="0" w:space="0" w:color="auto"/>
        <w:bottom w:val="none" w:sz="0" w:space="0" w:color="auto"/>
        <w:right w:val="none" w:sz="0" w:space="0" w:color="auto"/>
      </w:divBdr>
    </w:div>
    <w:div w:id="1324895364">
      <w:bodyDiv w:val="1"/>
      <w:marLeft w:val="0"/>
      <w:marRight w:val="0"/>
      <w:marTop w:val="0"/>
      <w:marBottom w:val="0"/>
      <w:divBdr>
        <w:top w:val="none" w:sz="0" w:space="0" w:color="auto"/>
        <w:left w:val="none" w:sz="0" w:space="0" w:color="auto"/>
        <w:bottom w:val="none" w:sz="0" w:space="0" w:color="auto"/>
        <w:right w:val="none" w:sz="0" w:space="0" w:color="auto"/>
      </w:divBdr>
    </w:div>
    <w:div w:id="1366175552">
      <w:bodyDiv w:val="1"/>
      <w:marLeft w:val="0"/>
      <w:marRight w:val="0"/>
      <w:marTop w:val="0"/>
      <w:marBottom w:val="0"/>
      <w:divBdr>
        <w:top w:val="none" w:sz="0" w:space="0" w:color="auto"/>
        <w:left w:val="none" w:sz="0" w:space="0" w:color="auto"/>
        <w:bottom w:val="none" w:sz="0" w:space="0" w:color="auto"/>
        <w:right w:val="none" w:sz="0" w:space="0" w:color="auto"/>
      </w:divBdr>
    </w:div>
    <w:div w:id="1435591785">
      <w:bodyDiv w:val="1"/>
      <w:marLeft w:val="0"/>
      <w:marRight w:val="0"/>
      <w:marTop w:val="0"/>
      <w:marBottom w:val="0"/>
      <w:divBdr>
        <w:top w:val="none" w:sz="0" w:space="0" w:color="auto"/>
        <w:left w:val="none" w:sz="0" w:space="0" w:color="auto"/>
        <w:bottom w:val="none" w:sz="0" w:space="0" w:color="auto"/>
        <w:right w:val="none" w:sz="0" w:space="0" w:color="auto"/>
      </w:divBdr>
      <w:divsChild>
        <w:div w:id="345863669">
          <w:marLeft w:val="0"/>
          <w:marRight w:val="0"/>
          <w:marTop w:val="0"/>
          <w:marBottom w:val="0"/>
          <w:divBdr>
            <w:top w:val="none" w:sz="0" w:space="0" w:color="auto"/>
            <w:left w:val="none" w:sz="0" w:space="0" w:color="auto"/>
            <w:bottom w:val="none" w:sz="0" w:space="0" w:color="auto"/>
            <w:right w:val="none" w:sz="0" w:space="0" w:color="auto"/>
          </w:divBdr>
        </w:div>
        <w:div w:id="289475367">
          <w:marLeft w:val="0"/>
          <w:marRight w:val="0"/>
          <w:marTop w:val="0"/>
          <w:marBottom w:val="0"/>
          <w:divBdr>
            <w:top w:val="none" w:sz="0" w:space="0" w:color="auto"/>
            <w:left w:val="none" w:sz="0" w:space="0" w:color="auto"/>
            <w:bottom w:val="none" w:sz="0" w:space="0" w:color="auto"/>
            <w:right w:val="none" w:sz="0" w:space="0" w:color="auto"/>
          </w:divBdr>
          <w:divsChild>
            <w:div w:id="1823350905">
              <w:marLeft w:val="0"/>
              <w:marRight w:val="0"/>
              <w:marTop w:val="0"/>
              <w:marBottom w:val="0"/>
              <w:divBdr>
                <w:top w:val="none" w:sz="0" w:space="0" w:color="auto"/>
                <w:left w:val="none" w:sz="0" w:space="0" w:color="auto"/>
                <w:bottom w:val="none" w:sz="0" w:space="0" w:color="auto"/>
                <w:right w:val="none" w:sz="0" w:space="0" w:color="auto"/>
              </w:divBdr>
              <w:divsChild>
                <w:div w:id="2019192422">
                  <w:marLeft w:val="0"/>
                  <w:marRight w:val="0"/>
                  <w:marTop w:val="0"/>
                  <w:marBottom w:val="0"/>
                  <w:divBdr>
                    <w:top w:val="none" w:sz="0" w:space="0" w:color="auto"/>
                    <w:left w:val="none" w:sz="0" w:space="0" w:color="auto"/>
                    <w:bottom w:val="none" w:sz="0" w:space="0" w:color="auto"/>
                    <w:right w:val="none" w:sz="0" w:space="0" w:color="auto"/>
                  </w:divBdr>
                  <w:divsChild>
                    <w:div w:id="1904489479">
                      <w:marLeft w:val="0"/>
                      <w:marRight w:val="0"/>
                      <w:marTop w:val="0"/>
                      <w:marBottom w:val="0"/>
                      <w:divBdr>
                        <w:top w:val="none" w:sz="0" w:space="0" w:color="auto"/>
                        <w:left w:val="none" w:sz="0" w:space="0" w:color="auto"/>
                        <w:bottom w:val="none" w:sz="0" w:space="0" w:color="auto"/>
                        <w:right w:val="none" w:sz="0" w:space="0" w:color="auto"/>
                      </w:divBdr>
                    </w:div>
                    <w:div w:id="461852407">
                      <w:marLeft w:val="0"/>
                      <w:marRight w:val="0"/>
                      <w:marTop w:val="0"/>
                      <w:marBottom w:val="0"/>
                      <w:divBdr>
                        <w:top w:val="none" w:sz="0" w:space="0" w:color="auto"/>
                        <w:left w:val="none" w:sz="0" w:space="0" w:color="auto"/>
                        <w:bottom w:val="none" w:sz="0" w:space="0" w:color="auto"/>
                        <w:right w:val="none" w:sz="0" w:space="0" w:color="auto"/>
                      </w:divBdr>
                      <w:divsChild>
                        <w:div w:id="1984041038">
                          <w:marLeft w:val="0"/>
                          <w:marRight w:val="0"/>
                          <w:marTop w:val="0"/>
                          <w:marBottom w:val="0"/>
                          <w:divBdr>
                            <w:top w:val="none" w:sz="0" w:space="0" w:color="auto"/>
                            <w:left w:val="none" w:sz="0" w:space="0" w:color="auto"/>
                            <w:bottom w:val="none" w:sz="0" w:space="0" w:color="auto"/>
                            <w:right w:val="none" w:sz="0" w:space="0" w:color="auto"/>
                          </w:divBdr>
                          <w:divsChild>
                            <w:div w:id="1830053241">
                              <w:marLeft w:val="0"/>
                              <w:marRight w:val="0"/>
                              <w:marTop w:val="0"/>
                              <w:marBottom w:val="0"/>
                              <w:divBdr>
                                <w:top w:val="none" w:sz="0" w:space="0" w:color="auto"/>
                                <w:left w:val="none" w:sz="0" w:space="0" w:color="auto"/>
                                <w:bottom w:val="none" w:sz="0" w:space="0" w:color="auto"/>
                                <w:right w:val="none" w:sz="0" w:space="0" w:color="auto"/>
                              </w:divBdr>
                              <w:divsChild>
                                <w:div w:id="26909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46828">
              <w:marLeft w:val="0"/>
              <w:marRight w:val="0"/>
              <w:marTop w:val="0"/>
              <w:marBottom w:val="0"/>
              <w:divBdr>
                <w:top w:val="none" w:sz="0" w:space="0" w:color="auto"/>
                <w:left w:val="none" w:sz="0" w:space="0" w:color="auto"/>
                <w:bottom w:val="none" w:sz="0" w:space="0" w:color="auto"/>
                <w:right w:val="none" w:sz="0" w:space="0" w:color="auto"/>
              </w:divBdr>
              <w:divsChild>
                <w:div w:id="160310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208996">
      <w:bodyDiv w:val="1"/>
      <w:marLeft w:val="0"/>
      <w:marRight w:val="0"/>
      <w:marTop w:val="0"/>
      <w:marBottom w:val="0"/>
      <w:divBdr>
        <w:top w:val="none" w:sz="0" w:space="0" w:color="auto"/>
        <w:left w:val="none" w:sz="0" w:space="0" w:color="auto"/>
        <w:bottom w:val="none" w:sz="0" w:space="0" w:color="auto"/>
        <w:right w:val="none" w:sz="0" w:space="0" w:color="auto"/>
      </w:divBdr>
    </w:div>
    <w:div w:id="1592618236">
      <w:bodyDiv w:val="1"/>
      <w:marLeft w:val="0"/>
      <w:marRight w:val="0"/>
      <w:marTop w:val="0"/>
      <w:marBottom w:val="0"/>
      <w:divBdr>
        <w:top w:val="none" w:sz="0" w:space="0" w:color="auto"/>
        <w:left w:val="none" w:sz="0" w:space="0" w:color="auto"/>
        <w:bottom w:val="none" w:sz="0" w:space="0" w:color="auto"/>
        <w:right w:val="none" w:sz="0" w:space="0" w:color="auto"/>
      </w:divBdr>
    </w:div>
    <w:div w:id="1612932172">
      <w:bodyDiv w:val="1"/>
      <w:marLeft w:val="0"/>
      <w:marRight w:val="0"/>
      <w:marTop w:val="0"/>
      <w:marBottom w:val="0"/>
      <w:divBdr>
        <w:top w:val="none" w:sz="0" w:space="0" w:color="auto"/>
        <w:left w:val="none" w:sz="0" w:space="0" w:color="auto"/>
        <w:bottom w:val="none" w:sz="0" w:space="0" w:color="auto"/>
        <w:right w:val="none" w:sz="0" w:space="0" w:color="auto"/>
      </w:divBdr>
    </w:div>
    <w:div w:id="1640695569">
      <w:bodyDiv w:val="1"/>
      <w:marLeft w:val="0"/>
      <w:marRight w:val="0"/>
      <w:marTop w:val="0"/>
      <w:marBottom w:val="0"/>
      <w:divBdr>
        <w:top w:val="none" w:sz="0" w:space="0" w:color="auto"/>
        <w:left w:val="none" w:sz="0" w:space="0" w:color="auto"/>
        <w:bottom w:val="none" w:sz="0" w:space="0" w:color="auto"/>
        <w:right w:val="none" w:sz="0" w:space="0" w:color="auto"/>
      </w:divBdr>
    </w:div>
    <w:div w:id="1779135711">
      <w:bodyDiv w:val="1"/>
      <w:marLeft w:val="0"/>
      <w:marRight w:val="0"/>
      <w:marTop w:val="0"/>
      <w:marBottom w:val="0"/>
      <w:divBdr>
        <w:top w:val="none" w:sz="0" w:space="0" w:color="auto"/>
        <w:left w:val="none" w:sz="0" w:space="0" w:color="auto"/>
        <w:bottom w:val="none" w:sz="0" w:space="0" w:color="auto"/>
        <w:right w:val="none" w:sz="0" w:space="0" w:color="auto"/>
      </w:divBdr>
    </w:div>
    <w:div w:id="1872307054">
      <w:bodyDiv w:val="1"/>
      <w:marLeft w:val="0"/>
      <w:marRight w:val="0"/>
      <w:marTop w:val="0"/>
      <w:marBottom w:val="0"/>
      <w:divBdr>
        <w:top w:val="none" w:sz="0" w:space="0" w:color="auto"/>
        <w:left w:val="none" w:sz="0" w:space="0" w:color="auto"/>
        <w:bottom w:val="none" w:sz="0" w:space="0" w:color="auto"/>
        <w:right w:val="none" w:sz="0" w:space="0" w:color="auto"/>
      </w:divBdr>
    </w:div>
    <w:div w:id="1894348578">
      <w:bodyDiv w:val="1"/>
      <w:marLeft w:val="0"/>
      <w:marRight w:val="0"/>
      <w:marTop w:val="0"/>
      <w:marBottom w:val="0"/>
      <w:divBdr>
        <w:top w:val="none" w:sz="0" w:space="0" w:color="auto"/>
        <w:left w:val="none" w:sz="0" w:space="0" w:color="auto"/>
        <w:bottom w:val="none" w:sz="0" w:space="0" w:color="auto"/>
        <w:right w:val="none" w:sz="0" w:space="0" w:color="auto"/>
      </w:divBdr>
    </w:div>
    <w:div w:id="1908296214">
      <w:bodyDiv w:val="1"/>
      <w:marLeft w:val="0"/>
      <w:marRight w:val="0"/>
      <w:marTop w:val="0"/>
      <w:marBottom w:val="0"/>
      <w:divBdr>
        <w:top w:val="none" w:sz="0" w:space="0" w:color="auto"/>
        <w:left w:val="none" w:sz="0" w:space="0" w:color="auto"/>
        <w:bottom w:val="none" w:sz="0" w:space="0" w:color="auto"/>
        <w:right w:val="none" w:sz="0" w:space="0" w:color="auto"/>
      </w:divBdr>
    </w:div>
    <w:div w:id="1910845596">
      <w:bodyDiv w:val="1"/>
      <w:marLeft w:val="0"/>
      <w:marRight w:val="0"/>
      <w:marTop w:val="0"/>
      <w:marBottom w:val="0"/>
      <w:divBdr>
        <w:top w:val="none" w:sz="0" w:space="0" w:color="auto"/>
        <w:left w:val="none" w:sz="0" w:space="0" w:color="auto"/>
        <w:bottom w:val="none" w:sz="0" w:space="0" w:color="auto"/>
        <w:right w:val="none" w:sz="0" w:space="0" w:color="auto"/>
      </w:divBdr>
    </w:div>
    <w:div w:id="1984580761">
      <w:bodyDiv w:val="1"/>
      <w:marLeft w:val="0"/>
      <w:marRight w:val="0"/>
      <w:marTop w:val="0"/>
      <w:marBottom w:val="0"/>
      <w:divBdr>
        <w:top w:val="none" w:sz="0" w:space="0" w:color="auto"/>
        <w:left w:val="none" w:sz="0" w:space="0" w:color="auto"/>
        <w:bottom w:val="none" w:sz="0" w:space="0" w:color="auto"/>
        <w:right w:val="none" w:sz="0" w:space="0" w:color="auto"/>
      </w:divBdr>
      <w:divsChild>
        <w:div w:id="1795951474">
          <w:marLeft w:val="0"/>
          <w:marRight w:val="0"/>
          <w:marTop w:val="0"/>
          <w:marBottom w:val="0"/>
          <w:divBdr>
            <w:top w:val="none" w:sz="0" w:space="0" w:color="auto"/>
            <w:left w:val="none" w:sz="0" w:space="0" w:color="auto"/>
            <w:bottom w:val="none" w:sz="0" w:space="0" w:color="auto"/>
            <w:right w:val="none" w:sz="0" w:space="0" w:color="auto"/>
          </w:divBdr>
          <w:divsChild>
            <w:div w:id="1272662955">
              <w:marLeft w:val="0"/>
              <w:marRight w:val="0"/>
              <w:marTop w:val="0"/>
              <w:marBottom w:val="0"/>
              <w:divBdr>
                <w:top w:val="none" w:sz="0" w:space="0" w:color="auto"/>
                <w:left w:val="none" w:sz="0" w:space="0" w:color="auto"/>
                <w:bottom w:val="none" w:sz="0" w:space="0" w:color="auto"/>
                <w:right w:val="none" w:sz="0" w:space="0" w:color="auto"/>
              </w:divBdr>
              <w:divsChild>
                <w:div w:id="1098868632">
                  <w:marLeft w:val="0"/>
                  <w:marRight w:val="0"/>
                  <w:marTop w:val="90"/>
                  <w:marBottom w:val="0"/>
                  <w:divBdr>
                    <w:top w:val="none" w:sz="0" w:space="0" w:color="auto"/>
                    <w:left w:val="none" w:sz="0" w:space="0" w:color="auto"/>
                    <w:bottom w:val="single" w:sz="6" w:space="9" w:color="E5E5E5"/>
                    <w:right w:val="none" w:sz="0" w:space="0" w:color="auto"/>
                  </w:divBdr>
                </w:div>
              </w:divsChild>
            </w:div>
          </w:divsChild>
        </w:div>
        <w:div w:id="1801797953">
          <w:marLeft w:val="0"/>
          <w:marRight w:val="0"/>
          <w:marTop w:val="0"/>
          <w:marBottom w:val="0"/>
          <w:divBdr>
            <w:top w:val="none" w:sz="0" w:space="0" w:color="auto"/>
            <w:left w:val="none" w:sz="0" w:space="0" w:color="auto"/>
            <w:bottom w:val="none" w:sz="0" w:space="0" w:color="auto"/>
            <w:right w:val="none" w:sz="0" w:space="0" w:color="auto"/>
          </w:divBdr>
          <w:divsChild>
            <w:div w:id="1120614160">
              <w:marLeft w:val="0"/>
              <w:marRight w:val="0"/>
              <w:marTop w:val="0"/>
              <w:marBottom w:val="0"/>
              <w:divBdr>
                <w:top w:val="none" w:sz="0" w:space="0" w:color="auto"/>
                <w:left w:val="none" w:sz="0" w:space="0" w:color="auto"/>
                <w:bottom w:val="none" w:sz="0" w:space="0" w:color="auto"/>
                <w:right w:val="none" w:sz="0" w:space="0" w:color="auto"/>
              </w:divBdr>
              <w:divsChild>
                <w:div w:id="2075270244">
                  <w:marLeft w:val="0"/>
                  <w:marRight w:val="0"/>
                  <w:marTop w:val="0"/>
                  <w:marBottom w:val="0"/>
                  <w:divBdr>
                    <w:top w:val="none" w:sz="0" w:space="0" w:color="auto"/>
                    <w:left w:val="none" w:sz="0" w:space="0" w:color="auto"/>
                    <w:bottom w:val="none" w:sz="0" w:space="0" w:color="auto"/>
                    <w:right w:val="none" w:sz="0" w:space="0" w:color="auto"/>
                  </w:divBdr>
                  <w:divsChild>
                    <w:div w:id="258953915">
                      <w:marLeft w:val="0"/>
                      <w:marRight w:val="0"/>
                      <w:marTop w:val="0"/>
                      <w:marBottom w:val="0"/>
                      <w:divBdr>
                        <w:top w:val="none" w:sz="0" w:space="0" w:color="auto"/>
                        <w:left w:val="none" w:sz="0" w:space="0" w:color="auto"/>
                        <w:bottom w:val="none" w:sz="0" w:space="0" w:color="auto"/>
                        <w:right w:val="none" w:sz="0" w:space="0" w:color="auto"/>
                      </w:divBdr>
                      <w:divsChild>
                        <w:div w:id="137957891">
                          <w:marLeft w:val="0"/>
                          <w:marRight w:val="0"/>
                          <w:marTop w:val="0"/>
                          <w:marBottom w:val="0"/>
                          <w:divBdr>
                            <w:top w:val="none" w:sz="0" w:space="0" w:color="auto"/>
                            <w:left w:val="none" w:sz="0" w:space="0" w:color="auto"/>
                            <w:bottom w:val="none" w:sz="0" w:space="0" w:color="auto"/>
                            <w:right w:val="none" w:sz="0" w:space="0" w:color="auto"/>
                          </w:divBdr>
                          <w:divsChild>
                            <w:div w:id="1624993503">
                              <w:marLeft w:val="180"/>
                              <w:marRight w:val="180"/>
                              <w:marTop w:val="0"/>
                              <w:marBottom w:val="0"/>
                              <w:divBdr>
                                <w:top w:val="none" w:sz="0" w:space="0" w:color="auto"/>
                                <w:left w:val="none" w:sz="0" w:space="0" w:color="auto"/>
                                <w:bottom w:val="none" w:sz="0" w:space="0" w:color="auto"/>
                                <w:right w:val="none" w:sz="0" w:space="0" w:color="auto"/>
                              </w:divBdr>
                              <w:divsChild>
                                <w:div w:id="121197032">
                                  <w:marLeft w:val="0"/>
                                  <w:marRight w:val="0"/>
                                  <w:marTop w:val="0"/>
                                  <w:marBottom w:val="0"/>
                                  <w:divBdr>
                                    <w:top w:val="none" w:sz="0" w:space="0" w:color="auto"/>
                                    <w:left w:val="none" w:sz="0" w:space="0" w:color="auto"/>
                                    <w:bottom w:val="none" w:sz="0" w:space="0" w:color="auto"/>
                                    <w:right w:val="none" w:sz="0" w:space="0" w:color="auto"/>
                                  </w:divBdr>
                                  <w:divsChild>
                                    <w:div w:id="1159426016">
                                      <w:marLeft w:val="0"/>
                                      <w:marRight w:val="0"/>
                                      <w:marTop w:val="0"/>
                                      <w:marBottom w:val="0"/>
                                      <w:divBdr>
                                        <w:top w:val="none" w:sz="0" w:space="0" w:color="auto"/>
                                        <w:left w:val="none" w:sz="0" w:space="0" w:color="auto"/>
                                        <w:bottom w:val="none" w:sz="0" w:space="0" w:color="auto"/>
                                        <w:right w:val="none" w:sz="0" w:space="0" w:color="auto"/>
                                      </w:divBdr>
                                      <w:divsChild>
                                        <w:div w:id="75497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32487456">
      <w:bodyDiv w:val="1"/>
      <w:marLeft w:val="0"/>
      <w:marRight w:val="0"/>
      <w:marTop w:val="0"/>
      <w:marBottom w:val="0"/>
      <w:divBdr>
        <w:top w:val="none" w:sz="0" w:space="0" w:color="auto"/>
        <w:left w:val="none" w:sz="0" w:space="0" w:color="auto"/>
        <w:bottom w:val="none" w:sz="0" w:space="0" w:color="auto"/>
        <w:right w:val="none" w:sz="0" w:space="0" w:color="auto"/>
      </w:divBdr>
    </w:div>
    <w:div w:id="20977051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aw.cornell.edu/uscode/html/uscode50/usc_sec_50_00001806----000-.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w.cornell.edu/uscode/html/uscode50/usc_sec_50_00001801----000-.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aw.cornell.edu/uscode/usc_sec_50_00001804----000-.html" TargetMode="External"/><Relationship Id="rId4" Type="http://schemas.openxmlformats.org/officeDocument/2006/relationships/settings" Target="settings.xml"/><Relationship Id="rId9" Type="http://schemas.openxmlformats.org/officeDocument/2006/relationships/hyperlink" Target="http://it.ojp.gov/default.aspx?area=privacy&amp;page=1284"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it.ojp.gov/privacyliberty/authorities/statutes/1286" TargetMode="External"/><Relationship Id="rId2" Type="http://schemas.openxmlformats.org/officeDocument/2006/relationships/hyperlink" Target="http://www.law.cornell.edu/uscode/html/uscode50/usc_sup_01_50_10_36_20_I.html" TargetMode="External"/><Relationship Id="rId1" Type="http://schemas.openxmlformats.org/officeDocument/2006/relationships/hyperlink" Target="http://www.law.cornell.edu/uscode/html/uscode50/usc_sup_01_50_10_36_20_I.html" TargetMode="External"/><Relationship Id="rId4" Type="http://schemas.openxmlformats.org/officeDocument/2006/relationships/hyperlink" Target="https://www.washingtonpost.com/graphics/politics/usa-freedom-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77482-C889-2A48-A252-F00F3F717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1448</TotalTime>
  <Pages>4</Pages>
  <Words>1420</Words>
  <Characters>8096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Noah Jeub</cp:lastModifiedBy>
  <cp:revision>16</cp:revision>
  <cp:lastPrinted>2017-04-24T14:35:00Z</cp:lastPrinted>
  <dcterms:created xsi:type="dcterms:W3CDTF">2019-02-24T20:02:00Z</dcterms:created>
  <dcterms:modified xsi:type="dcterms:W3CDTF">2019-03-11T03:19:00Z</dcterms:modified>
</cp:coreProperties>
</file>